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118EE" w14:textId="77777777" w:rsidR="00035E22" w:rsidRPr="006E5B7E" w:rsidRDefault="00AE028B" w:rsidP="0070431A">
      <w:pPr>
        <w:pBdr>
          <w:top w:val="single" w:sz="4" w:space="1" w:color="auto"/>
          <w:left w:val="single" w:sz="4" w:space="4" w:color="auto"/>
          <w:bottom w:val="single" w:sz="4" w:space="1" w:color="auto"/>
          <w:right w:val="single" w:sz="4" w:space="4" w:color="auto"/>
        </w:pBdr>
        <w:spacing w:after="0" w:line="276" w:lineRule="auto"/>
        <w:ind w:right="98"/>
        <w:jc w:val="center"/>
        <w:rPr>
          <w:b/>
          <w:bCs/>
          <w:caps/>
          <w:color w:val="002060"/>
          <w:lang w:val="es-ES"/>
        </w:rPr>
      </w:pPr>
      <w:bookmarkStart w:id="0" w:name="_Toc501373699"/>
      <w:r>
        <w:rPr>
          <w:b/>
          <w:bCs/>
          <w:caps/>
          <w:color w:val="002060"/>
          <w:lang w:val="es-ES"/>
        </w:rPr>
        <w:t xml:space="preserve"> </w:t>
      </w:r>
      <w:r w:rsidR="009F5E1E">
        <w:rPr>
          <w:b/>
          <w:bCs/>
          <w:caps/>
          <w:color w:val="002060"/>
          <w:lang w:val="es-ES"/>
        </w:rPr>
        <w:t>Programa euroclima</w:t>
      </w:r>
      <w:r w:rsidR="00035E22" w:rsidRPr="006E5B7E">
        <w:rPr>
          <w:b/>
          <w:bCs/>
          <w:caps/>
          <w:color w:val="002060"/>
          <w:lang w:val="es-ES"/>
        </w:rPr>
        <w:t xml:space="preserve"> </w:t>
      </w:r>
    </w:p>
    <w:p w14:paraId="78D65639" w14:textId="77777777" w:rsidR="00035E22" w:rsidRPr="006E5B7E" w:rsidRDefault="00035E22" w:rsidP="0070431A">
      <w:pPr>
        <w:pBdr>
          <w:top w:val="single" w:sz="4" w:space="1" w:color="auto"/>
          <w:left w:val="single" w:sz="4" w:space="4" w:color="auto"/>
          <w:bottom w:val="single" w:sz="4" w:space="1" w:color="auto"/>
          <w:right w:val="single" w:sz="4" w:space="4" w:color="auto"/>
        </w:pBdr>
        <w:spacing w:after="0" w:line="276" w:lineRule="auto"/>
        <w:ind w:right="98"/>
        <w:jc w:val="center"/>
        <w:rPr>
          <w:b/>
          <w:bCs/>
          <w:caps/>
          <w:color w:val="002060"/>
          <w:lang w:val="es-ES"/>
        </w:rPr>
      </w:pPr>
    </w:p>
    <w:p w14:paraId="51B6BAE6" w14:textId="77777777" w:rsidR="00CE162E" w:rsidRDefault="005E2FC0" w:rsidP="00CE162E">
      <w:pPr>
        <w:pBdr>
          <w:top w:val="single" w:sz="4" w:space="1" w:color="auto"/>
          <w:left w:val="single" w:sz="4" w:space="4" w:color="auto"/>
          <w:bottom w:val="single" w:sz="4" w:space="1" w:color="auto"/>
          <w:right w:val="single" w:sz="4" w:space="4" w:color="auto"/>
        </w:pBdr>
        <w:spacing w:after="0" w:line="276" w:lineRule="auto"/>
        <w:ind w:right="98"/>
        <w:jc w:val="center"/>
        <w:rPr>
          <w:b/>
          <w:bCs/>
          <w:caps/>
          <w:color w:val="002060"/>
          <w:lang w:val="es-ES"/>
        </w:rPr>
      </w:pPr>
      <w:r w:rsidRPr="006E5B7E">
        <w:rPr>
          <w:b/>
          <w:bCs/>
          <w:caps/>
          <w:color w:val="002060"/>
          <w:lang w:val="es-ES"/>
        </w:rPr>
        <w:t>T</w:t>
      </w:r>
      <w:r w:rsidR="00215D06">
        <w:rPr>
          <w:b/>
          <w:bCs/>
          <w:caps/>
          <w:color w:val="002060"/>
          <w:lang w:val="es-ES"/>
        </w:rPr>
        <w:t>É</w:t>
      </w:r>
      <w:r w:rsidR="00845FD1" w:rsidRPr="006E5B7E">
        <w:rPr>
          <w:b/>
          <w:bCs/>
          <w:caps/>
          <w:color w:val="002060"/>
          <w:lang w:val="es-ES"/>
        </w:rPr>
        <w:t xml:space="preserve">rminos </w:t>
      </w:r>
      <w:r w:rsidR="0001087E" w:rsidRPr="006E5B7E">
        <w:rPr>
          <w:b/>
          <w:bCs/>
          <w:caps/>
          <w:color w:val="002060"/>
          <w:lang w:val="es-ES"/>
        </w:rPr>
        <w:t>d</w:t>
      </w:r>
      <w:r w:rsidR="00845FD1" w:rsidRPr="006E5B7E">
        <w:rPr>
          <w:b/>
          <w:bCs/>
          <w:caps/>
          <w:color w:val="002060"/>
          <w:lang w:val="es-ES"/>
        </w:rPr>
        <w:t xml:space="preserve">e </w:t>
      </w:r>
      <w:r w:rsidR="0001087E" w:rsidRPr="006E5B7E">
        <w:rPr>
          <w:b/>
          <w:bCs/>
          <w:caps/>
          <w:color w:val="002060"/>
          <w:lang w:val="es-ES"/>
        </w:rPr>
        <w:t>R</w:t>
      </w:r>
      <w:r w:rsidR="00845FD1" w:rsidRPr="006E5B7E">
        <w:rPr>
          <w:b/>
          <w:bCs/>
          <w:caps/>
          <w:color w:val="002060"/>
          <w:lang w:val="es-ES"/>
        </w:rPr>
        <w:t>eferencia</w:t>
      </w:r>
    </w:p>
    <w:p w14:paraId="6A2CDC80" w14:textId="77777777" w:rsidR="00CE162E" w:rsidRDefault="007A3912" w:rsidP="00CE162E">
      <w:pPr>
        <w:pBdr>
          <w:top w:val="single" w:sz="4" w:space="1" w:color="auto"/>
          <w:left w:val="single" w:sz="4" w:space="4" w:color="auto"/>
          <w:bottom w:val="single" w:sz="4" w:space="1" w:color="auto"/>
          <w:right w:val="single" w:sz="4" w:space="4" w:color="auto"/>
        </w:pBdr>
        <w:spacing w:after="0" w:line="276" w:lineRule="auto"/>
        <w:ind w:right="98"/>
        <w:jc w:val="center"/>
        <w:rPr>
          <w:b/>
          <w:bCs/>
          <w:caps/>
          <w:color w:val="002060"/>
          <w:lang w:val="es-ES"/>
        </w:rPr>
      </w:pPr>
      <w:r w:rsidRPr="007A3912">
        <w:rPr>
          <w:b/>
          <w:bCs/>
          <w:caps/>
          <w:color w:val="002060"/>
          <w:lang w:val="es-ES"/>
        </w:rPr>
        <w:t xml:space="preserve">PLATAFORMA ASINCRÓNICA (BLENDED) DE CAPACITACIÓN EN </w:t>
      </w:r>
    </w:p>
    <w:p w14:paraId="5613F743" w14:textId="77777777" w:rsidR="0001087E" w:rsidRDefault="007A3912" w:rsidP="00CE162E">
      <w:pPr>
        <w:pBdr>
          <w:top w:val="single" w:sz="4" w:space="1" w:color="auto"/>
          <w:left w:val="single" w:sz="4" w:space="4" w:color="auto"/>
          <w:bottom w:val="single" w:sz="4" w:space="1" w:color="auto"/>
          <w:right w:val="single" w:sz="4" w:space="4" w:color="auto"/>
        </w:pBdr>
        <w:spacing w:after="0" w:line="276" w:lineRule="auto"/>
        <w:ind w:right="98"/>
        <w:jc w:val="center"/>
        <w:rPr>
          <w:b/>
          <w:bCs/>
          <w:caps/>
          <w:color w:val="002060"/>
          <w:lang w:val="es-ES"/>
        </w:rPr>
      </w:pPr>
      <w:r w:rsidRPr="007A3912">
        <w:rPr>
          <w:b/>
          <w:bCs/>
          <w:caps/>
          <w:color w:val="002060"/>
          <w:lang w:val="es-ES"/>
        </w:rPr>
        <w:t>BUENAS PRÁCTICAS AGRÍCOLAS (BPA)</w:t>
      </w:r>
    </w:p>
    <w:p w14:paraId="7386C1EA" w14:textId="77777777" w:rsidR="00736087" w:rsidRPr="0001087E" w:rsidRDefault="00736087" w:rsidP="008A417C">
      <w:pPr>
        <w:pBdr>
          <w:top w:val="single" w:sz="4" w:space="1" w:color="auto"/>
          <w:left w:val="single" w:sz="4" w:space="4" w:color="auto"/>
          <w:bottom w:val="single" w:sz="4" w:space="1" w:color="auto"/>
          <w:right w:val="single" w:sz="4" w:space="4" w:color="auto"/>
        </w:pBdr>
        <w:tabs>
          <w:tab w:val="center" w:pos="4487"/>
          <w:tab w:val="left" w:pos="6748"/>
          <w:tab w:val="right" w:pos="8974"/>
        </w:tabs>
        <w:spacing w:after="240" w:line="276" w:lineRule="auto"/>
        <w:ind w:right="98"/>
        <w:rPr>
          <w:u w:val="single"/>
          <w:lang w:val="es-ES"/>
        </w:rPr>
      </w:pPr>
    </w:p>
    <w:tbl>
      <w:tblPr>
        <w:tblW w:w="92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3050"/>
        <w:gridCol w:w="6169"/>
      </w:tblGrid>
      <w:tr w:rsidR="009C551B" w:rsidRPr="00176140" w14:paraId="66FE1EC4" w14:textId="77777777" w:rsidTr="004844C2">
        <w:trPr>
          <w:trHeight w:val="346"/>
        </w:trPr>
        <w:tc>
          <w:tcPr>
            <w:tcW w:w="3050" w:type="dxa"/>
            <w:shd w:val="clear" w:color="auto" w:fill="002060"/>
          </w:tcPr>
          <w:p w14:paraId="13CA3136" w14:textId="77777777" w:rsidR="009C551B" w:rsidRPr="009C551B" w:rsidRDefault="009C551B" w:rsidP="00241B28">
            <w:pPr>
              <w:spacing w:after="0" w:line="240" w:lineRule="auto"/>
              <w:rPr>
                <w:b/>
                <w:highlight w:val="yellow"/>
                <w:lang w:val="es-ES"/>
              </w:rPr>
            </w:pPr>
            <w:r w:rsidRPr="009C551B">
              <w:rPr>
                <w:b/>
                <w:lang w:val="es-ES"/>
              </w:rPr>
              <w:t>Cargo/Misión</w:t>
            </w:r>
          </w:p>
        </w:tc>
        <w:tc>
          <w:tcPr>
            <w:tcW w:w="6169" w:type="dxa"/>
          </w:tcPr>
          <w:p w14:paraId="4ECE9A31" w14:textId="75B80233" w:rsidR="006F2490" w:rsidRPr="00E951F1" w:rsidRDefault="00426967" w:rsidP="00BF5721">
            <w:pPr>
              <w:spacing w:after="0" w:line="240" w:lineRule="auto"/>
              <w:rPr>
                <w:lang w:val="es-CO"/>
              </w:rPr>
            </w:pPr>
            <w:r>
              <w:rPr>
                <w:lang w:val="es-CO"/>
              </w:rPr>
              <w:t>Apoyar al gobierno de Costa R</w:t>
            </w:r>
            <w:r w:rsidR="00BF5721">
              <w:rPr>
                <w:lang w:val="es-CO"/>
              </w:rPr>
              <w:t xml:space="preserve">ica en el desarrollo de una </w:t>
            </w:r>
            <w:r w:rsidR="00BF5721" w:rsidRPr="00BF5721">
              <w:rPr>
                <w:lang w:val="es-CO"/>
              </w:rPr>
              <w:t>plataforma asincrónic</w:t>
            </w:r>
            <w:r w:rsidR="00173239">
              <w:rPr>
                <w:lang w:val="es-CO"/>
              </w:rPr>
              <w:t>a (</w:t>
            </w:r>
            <w:proofErr w:type="spellStart"/>
            <w:r w:rsidR="00173239">
              <w:rPr>
                <w:lang w:val="es-CO"/>
              </w:rPr>
              <w:t>blended</w:t>
            </w:r>
            <w:proofErr w:type="spellEnd"/>
            <w:r w:rsidR="00173239">
              <w:rPr>
                <w:lang w:val="es-CO"/>
              </w:rPr>
              <w:t>) de capacitación en Buenas Prácticas A</w:t>
            </w:r>
            <w:r w:rsidR="00BF5721" w:rsidRPr="00BF5721">
              <w:rPr>
                <w:lang w:val="es-CO"/>
              </w:rPr>
              <w:t>grícolas (</w:t>
            </w:r>
            <w:r w:rsidR="00BF5721">
              <w:rPr>
                <w:lang w:val="es-CO"/>
              </w:rPr>
              <w:t>BPA</w:t>
            </w:r>
            <w:r w:rsidR="00BF5721" w:rsidRPr="00BF5721">
              <w:rPr>
                <w:lang w:val="es-CO"/>
              </w:rPr>
              <w:t>)</w:t>
            </w:r>
            <w:r w:rsidR="00BF5721">
              <w:rPr>
                <w:lang w:val="es-CO"/>
              </w:rPr>
              <w:t>.</w:t>
            </w:r>
          </w:p>
        </w:tc>
      </w:tr>
      <w:tr w:rsidR="009C551B" w:rsidRPr="00E951F1" w14:paraId="1EC7B0A0" w14:textId="77777777" w:rsidTr="004844C2">
        <w:trPr>
          <w:trHeight w:val="330"/>
        </w:trPr>
        <w:tc>
          <w:tcPr>
            <w:tcW w:w="3050" w:type="dxa"/>
            <w:shd w:val="clear" w:color="auto" w:fill="002060"/>
          </w:tcPr>
          <w:p w14:paraId="3DEF44A8" w14:textId="77777777" w:rsidR="009C551B" w:rsidRPr="00E951F1" w:rsidRDefault="009C551B" w:rsidP="00241B28">
            <w:pPr>
              <w:spacing w:after="0" w:line="240" w:lineRule="auto"/>
              <w:rPr>
                <w:b/>
                <w:bCs/>
                <w:lang w:val="es-CO"/>
              </w:rPr>
            </w:pPr>
            <w:r w:rsidRPr="00E951F1">
              <w:rPr>
                <w:b/>
                <w:bCs/>
                <w:lang w:val="es-CO"/>
              </w:rPr>
              <w:t>País</w:t>
            </w:r>
          </w:p>
        </w:tc>
        <w:tc>
          <w:tcPr>
            <w:tcW w:w="6169" w:type="dxa"/>
          </w:tcPr>
          <w:p w14:paraId="1F29B9C0" w14:textId="77777777" w:rsidR="00C835A0" w:rsidRDefault="006A7954">
            <w:r>
              <w:t>Costa Rica</w:t>
            </w:r>
          </w:p>
        </w:tc>
      </w:tr>
      <w:tr w:rsidR="009C551B" w:rsidRPr="00176140" w14:paraId="2B88F94C" w14:textId="77777777" w:rsidTr="004844C2">
        <w:trPr>
          <w:trHeight w:val="330"/>
        </w:trPr>
        <w:tc>
          <w:tcPr>
            <w:tcW w:w="3050" w:type="dxa"/>
            <w:shd w:val="clear" w:color="auto" w:fill="002060"/>
          </w:tcPr>
          <w:p w14:paraId="6DCFB49A" w14:textId="77777777" w:rsidR="009C551B" w:rsidRPr="009C551B" w:rsidRDefault="009C551B" w:rsidP="00241B28">
            <w:pPr>
              <w:spacing w:line="240" w:lineRule="auto"/>
              <w:rPr>
                <w:highlight w:val="yellow"/>
                <w:lang w:val="es-ES"/>
              </w:rPr>
            </w:pPr>
            <w:r w:rsidRPr="00E951F1">
              <w:rPr>
                <w:b/>
                <w:bCs/>
                <w:lang w:val="es-CO"/>
              </w:rPr>
              <w:t xml:space="preserve">Período para la realización del trabajo </w:t>
            </w:r>
          </w:p>
        </w:tc>
        <w:tc>
          <w:tcPr>
            <w:tcW w:w="6169" w:type="dxa"/>
          </w:tcPr>
          <w:p w14:paraId="545066EA" w14:textId="71BDBD01" w:rsidR="00C835A0" w:rsidRPr="00886180" w:rsidRDefault="006A7954" w:rsidP="00886180">
            <w:pPr>
              <w:jc w:val="both"/>
              <w:rPr>
                <w:iCs/>
              </w:rPr>
            </w:pPr>
            <w:r w:rsidRPr="00886180">
              <w:rPr>
                <w:iCs/>
              </w:rPr>
              <w:t>10 meses contados a partir de la fecha de inicio de la consultoría definida por Expertise France (T0).</w:t>
            </w:r>
          </w:p>
        </w:tc>
      </w:tr>
      <w:tr w:rsidR="009C551B" w:rsidRPr="0078319A" w14:paraId="0CE8810F" w14:textId="77777777" w:rsidTr="004844C2">
        <w:trPr>
          <w:trHeight w:val="330"/>
        </w:trPr>
        <w:tc>
          <w:tcPr>
            <w:tcW w:w="3050" w:type="dxa"/>
            <w:shd w:val="clear" w:color="auto" w:fill="002060"/>
          </w:tcPr>
          <w:p w14:paraId="40D0ADBA" w14:textId="77777777" w:rsidR="009C551B" w:rsidRPr="00E951F1" w:rsidRDefault="009C551B" w:rsidP="00241B28">
            <w:pPr>
              <w:spacing w:after="0" w:line="240" w:lineRule="auto"/>
              <w:rPr>
                <w:b/>
                <w:bCs/>
                <w:lang w:val="es-CO"/>
              </w:rPr>
            </w:pPr>
            <w:r w:rsidRPr="00E951F1">
              <w:rPr>
                <w:b/>
                <w:bCs/>
                <w:lang w:val="es-CO"/>
              </w:rPr>
              <w:t>Fecha límite para la aplicación</w:t>
            </w:r>
          </w:p>
        </w:tc>
        <w:tc>
          <w:tcPr>
            <w:tcW w:w="6169" w:type="dxa"/>
          </w:tcPr>
          <w:p w14:paraId="20A59F99" w14:textId="41713409" w:rsidR="00C835A0" w:rsidRDefault="00B51C1E" w:rsidP="00B51C1E">
            <w:r>
              <w:t>28 de abril de 2026.</w:t>
            </w:r>
          </w:p>
        </w:tc>
      </w:tr>
    </w:tbl>
    <w:p w14:paraId="4EABD312" w14:textId="77777777" w:rsidR="00BE5437" w:rsidRPr="00C15D1A" w:rsidRDefault="00BE5437" w:rsidP="00BE5437">
      <w:pPr>
        <w:pStyle w:val="Titre1"/>
        <w:pBdr>
          <w:bottom w:val="single" w:sz="4" w:space="1" w:color="595959"/>
        </w:pBdr>
        <w:spacing w:before="0" w:after="160" w:line="276" w:lineRule="auto"/>
        <w:ind w:left="432" w:hanging="432"/>
        <w:jc w:val="both"/>
        <w:rPr>
          <w:color w:val="002060"/>
          <w:sz w:val="22"/>
          <w:szCs w:val="22"/>
          <w:lang w:val="es-CO"/>
        </w:rPr>
      </w:pPr>
      <w:bookmarkStart w:id="1" w:name="_Toc179973778"/>
      <w:bookmarkEnd w:id="0"/>
      <w:r w:rsidRPr="00C15D1A">
        <w:rPr>
          <w:color w:val="002060"/>
          <w:sz w:val="22"/>
          <w:szCs w:val="22"/>
          <w:lang w:val="es-CO"/>
        </w:rPr>
        <w:t>Contexto y justificación</w:t>
      </w:r>
      <w:bookmarkEnd w:id="1"/>
    </w:p>
    <w:p w14:paraId="30CD4357" w14:textId="570CCB8A" w:rsidR="003E7972" w:rsidRDefault="00817F78" w:rsidP="00BE5437">
      <w:pPr>
        <w:pStyle w:val="Titre2"/>
        <w:keepLines/>
        <w:widowControl/>
        <w:numPr>
          <w:ilvl w:val="1"/>
          <w:numId w:val="0"/>
        </w:numPr>
        <w:spacing w:after="240" w:line="276" w:lineRule="auto"/>
        <w:ind w:left="576" w:hanging="576"/>
        <w:jc w:val="both"/>
        <w:rPr>
          <w:color w:val="002060"/>
          <w:sz w:val="22"/>
          <w:szCs w:val="22"/>
          <w:lang w:val="es-CO"/>
        </w:rPr>
      </w:pPr>
      <w:bookmarkStart w:id="2" w:name="_Toc179973779"/>
      <w:r>
        <w:rPr>
          <w:color w:val="002060"/>
          <w:sz w:val="22"/>
          <w:szCs w:val="22"/>
          <w:lang w:val="es-CO"/>
        </w:rPr>
        <w:t>1</w:t>
      </w:r>
      <w:r w:rsidR="00781E27">
        <w:rPr>
          <w:color w:val="002060"/>
          <w:sz w:val="22"/>
          <w:szCs w:val="22"/>
          <w:lang w:val="es-CO"/>
        </w:rPr>
        <w:t>.</w:t>
      </w:r>
      <w:r w:rsidR="00781E27">
        <w:rPr>
          <w:color w:val="002060"/>
          <w:sz w:val="22"/>
          <w:szCs w:val="22"/>
          <w:lang w:val="es-CO"/>
        </w:rPr>
        <w:tab/>
        <w:t>Contexto y Justificación</w:t>
      </w:r>
    </w:p>
    <w:p w14:paraId="4D9D265D" w14:textId="018C353B" w:rsidR="00273D34" w:rsidRDefault="00817F78" w:rsidP="00BE5437">
      <w:pPr>
        <w:pStyle w:val="Titre2"/>
        <w:keepLines/>
        <w:widowControl/>
        <w:numPr>
          <w:ilvl w:val="1"/>
          <w:numId w:val="0"/>
        </w:numPr>
        <w:spacing w:after="240" w:line="276" w:lineRule="auto"/>
        <w:ind w:left="576" w:hanging="576"/>
        <w:jc w:val="both"/>
        <w:rPr>
          <w:color w:val="002060"/>
          <w:sz w:val="22"/>
          <w:szCs w:val="22"/>
          <w:lang w:val="es-CO"/>
        </w:rPr>
      </w:pPr>
      <w:r>
        <w:rPr>
          <w:color w:val="002060"/>
          <w:sz w:val="22"/>
          <w:szCs w:val="22"/>
          <w:lang w:val="es-CO"/>
        </w:rPr>
        <w:t>1</w:t>
      </w:r>
      <w:r w:rsidR="00273D34">
        <w:rPr>
          <w:color w:val="002060"/>
          <w:sz w:val="22"/>
          <w:szCs w:val="22"/>
          <w:lang w:val="es-CO"/>
        </w:rPr>
        <w:t>.</w:t>
      </w:r>
      <w:r w:rsidR="00781E27">
        <w:rPr>
          <w:color w:val="002060"/>
          <w:sz w:val="22"/>
          <w:szCs w:val="22"/>
          <w:lang w:val="es-CO"/>
        </w:rPr>
        <w:t>1</w:t>
      </w:r>
      <w:r w:rsidR="00700C2E">
        <w:rPr>
          <w:color w:val="002060"/>
          <w:sz w:val="22"/>
          <w:szCs w:val="22"/>
          <w:lang w:val="es-CO"/>
        </w:rPr>
        <w:tab/>
      </w:r>
      <w:r w:rsidR="00BE5437" w:rsidRPr="00C15D1A">
        <w:rPr>
          <w:color w:val="002060"/>
          <w:sz w:val="22"/>
          <w:szCs w:val="22"/>
          <w:lang w:val="es-CO"/>
        </w:rPr>
        <w:t>Expertise France</w:t>
      </w:r>
      <w:bookmarkEnd w:id="2"/>
    </w:p>
    <w:p w14:paraId="20D59BBF" w14:textId="77777777" w:rsidR="00BE5437" w:rsidRPr="000B144A" w:rsidRDefault="00BE5437" w:rsidP="000B144A">
      <w:pPr>
        <w:pStyle w:val="Titre2"/>
        <w:keepLines/>
        <w:widowControl/>
        <w:numPr>
          <w:ilvl w:val="1"/>
          <w:numId w:val="0"/>
        </w:numPr>
        <w:spacing w:after="240" w:line="276" w:lineRule="auto"/>
        <w:jc w:val="both"/>
        <w:rPr>
          <w:rFonts w:ascii="Calibri" w:hAnsi="Calibri" w:cs="Calibri"/>
          <w:b w:val="0"/>
          <w:bCs w:val="0"/>
          <w:sz w:val="22"/>
          <w:szCs w:val="24"/>
          <w:lang w:val="es-CO"/>
        </w:rPr>
      </w:pPr>
      <w:r w:rsidRPr="000B144A">
        <w:rPr>
          <w:rFonts w:ascii="Calibri" w:hAnsi="Calibri" w:cs="Calibri"/>
          <w:b w:val="0"/>
          <w:bCs w:val="0"/>
          <w:sz w:val="22"/>
          <w:szCs w:val="24"/>
          <w:lang w:val="es-CO"/>
        </w:rPr>
        <w:t>Expertise France (</w:t>
      </w:r>
      <w:hyperlink r:id="rId8" w:history="1">
        <w:r w:rsidRPr="000B144A">
          <w:rPr>
            <w:rStyle w:val="Lienhypertexte"/>
            <w:rFonts w:ascii="Calibri" w:hAnsi="Calibri" w:cs="Calibri"/>
            <w:b w:val="0"/>
            <w:bCs w:val="0"/>
            <w:sz w:val="22"/>
            <w:szCs w:val="24"/>
            <w:lang w:val="es-CO"/>
          </w:rPr>
          <w:t>expertisefrance.fr</w:t>
        </w:r>
      </w:hyperlink>
      <w:r w:rsidRPr="000B144A">
        <w:rPr>
          <w:rFonts w:ascii="Calibri" w:hAnsi="Calibri" w:cs="Calibri"/>
          <w:b w:val="0"/>
          <w:bCs w:val="0"/>
          <w:sz w:val="22"/>
          <w:szCs w:val="24"/>
          <w:lang w:val="es-CO"/>
        </w:rPr>
        <w:t>) es la agencia pública de cooperación técnica internacional. La</w:t>
      </w:r>
      <w:r w:rsidR="000B144A">
        <w:rPr>
          <w:rFonts w:ascii="Calibri" w:hAnsi="Calibri" w:cs="Calibri"/>
          <w:b w:val="0"/>
          <w:bCs w:val="0"/>
          <w:sz w:val="22"/>
          <w:szCs w:val="24"/>
          <w:lang w:val="es-CO"/>
        </w:rPr>
        <w:t xml:space="preserve"> </w:t>
      </w:r>
      <w:r w:rsidRPr="000B144A">
        <w:rPr>
          <w:rFonts w:ascii="Calibri" w:hAnsi="Calibri" w:cs="Calibri"/>
          <w:b w:val="0"/>
          <w:bCs w:val="0"/>
          <w:sz w:val="22"/>
          <w:szCs w:val="24"/>
          <w:lang w:val="es-CO"/>
        </w:rPr>
        <w:t xml:space="preserve">agencia atiende las necesidades de asesoría técnica de países socios en los principales ámbitos de la acción pública: gobernanza democrática y financiera, seguridad, desarrollo sostenible y desarrollo humano. Por su acción en el terreno contribuye a los objetivos de solidaridad y de influencia de la política de desarrollo francesa y europea. </w:t>
      </w:r>
    </w:p>
    <w:p w14:paraId="3DC4BFAF" w14:textId="77777777" w:rsidR="00BE5437" w:rsidRPr="003305D1" w:rsidRDefault="00BE5437" w:rsidP="00BE5437">
      <w:pPr>
        <w:jc w:val="both"/>
        <w:rPr>
          <w:lang w:val="es-ES"/>
        </w:rPr>
      </w:pPr>
      <w:r w:rsidRPr="003305D1">
        <w:rPr>
          <w:lang w:val="es-ES"/>
        </w:rPr>
        <w:t>Con un volumen de actividad de 270 millones de euros, Expertise France (EF) interviene en más de 100 países y maneja más de 500 proyectos. Expertise France tiene más de 400 empleados en la sede en París y más de 600 socios en el mundo.</w:t>
      </w:r>
    </w:p>
    <w:p w14:paraId="3FFA797C" w14:textId="77777777" w:rsidR="00BE5437" w:rsidRPr="003305D1" w:rsidRDefault="00BE5437" w:rsidP="00BE5437">
      <w:pPr>
        <w:spacing w:line="276" w:lineRule="auto"/>
        <w:jc w:val="both"/>
        <w:rPr>
          <w:lang w:val="es-ES"/>
        </w:rPr>
      </w:pPr>
      <w:r w:rsidRPr="003305D1">
        <w:rPr>
          <w:lang w:val="es-ES"/>
        </w:rPr>
        <w:t xml:space="preserve">En América </w:t>
      </w:r>
      <w:r>
        <w:rPr>
          <w:lang w:val="es-ES"/>
        </w:rPr>
        <w:t>L</w:t>
      </w:r>
      <w:r w:rsidRPr="003305D1">
        <w:rPr>
          <w:lang w:val="es-ES"/>
        </w:rPr>
        <w:t xml:space="preserve">atina, Expertise France interviene en mayoría con proyectos o programas regionales. En octubre de 2018, se abrió la primera oficina de Expertise France en Bogotá, Colombia. Tiene como objetivo principal la implementación del programa EUROCLIMA+ financiado por la Unión </w:t>
      </w:r>
      <w:r>
        <w:rPr>
          <w:lang w:val="es-ES"/>
        </w:rPr>
        <w:t>E</w:t>
      </w:r>
      <w:r w:rsidRPr="003305D1">
        <w:rPr>
          <w:lang w:val="es-ES"/>
        </w:rPr>
        <w:t>uropea</w:t>
      </w:r>
      <w:r>
        <w:rPr>
          <w:lang w:val="es-ES"/>
        </w:rPr>
        <w:t>.</w:t>
      </w:r>
    </w:p>
    <w:p w14:paraId="07136CE2" w14:textId="5440F4E3" w:rsidR="00BE5437" w:rsidRDefault="00817F78" w:rsidP="00BE5437">
      <w:pPr>
        <w:pStyle w:val="Titre2"/>
        <w:keepLines/>
        <w:widowControl/>
        <w:numPr>
          <w:ilvl w:val="1"/>
          <w:numId w:val="0"/>
        </w:numPr>
        <w:spacing w:after="240" w:line="276" w:lineRule="auto"/>
        <w:ind w:left="576" w:hanging="576"/>
        <w:jc w:val="both"/>
        <w:rPr>
          <w:color w:val="002060"/>
          <w:sz w:val="22"/>
          <w:szCs w:val="22"/>
          <w:lang w:val="es-CO"/>
        </w:rPr>
      </w:pPr>
      <w:bookmarkStart w:id="3" w:name="_Toc179973780"/>
      <w:r>
        <w:rPr>
          <w:color w:val="002060"/>
          <w:sz w:val="22"/>
          <w:szCs w:val="22"/>
          <w:lang w:val="es-CO"/>
        </w:rPr>
        <w:t>2.</w:t>
      </w:r>
      <w:r w:rsidR="002A0A3B">
        <w:rPr>
          <w:color w:val="002060"/>
          <w:sz w:val="22"/>
          <w:szCs w:val="22"/>
          <w:lang w:val="es-CO"/>
        </w:rPr>
        <w:tab/>
      </w:r>
      <w:r w:rsidR="00BE5437" w:rsidRPr="00C15D1A">
        <w:rPr>
          <w:color w:val="002060"/>
          <w:sz w:val="22"/>
          <w:szCs w:val="22"/>
          <w:lang w:val="es-CO"/>
        </w:rPr>
        <w:t>El programa Euroclima</w:t>
      </w:r>
      <w:bookmarkEnd w:id="3"/>
    </w:p>
    <w:p w14:paraId="0F44BD9F" w14:textId="77777777" w:rsidR="00BE5437" w:rsidRPr="00C15D1A" w:rsidRDefault="00BE5437" w:rsidP="00BE5437">
      <w:pPr>
        <w:spacing w:line="276" w:lineRule="auto"/>
        <w:jc w:val="both"/>
        <w:rPr>
          <w:lang w:val="es-CO"/>
        </w:rPr>
      </w:pPr>
      <w:r w:rsidRPr="00C15D1A">
        <w:rPr>
          <w:lang w:val="es-CO"/>
        </w:rPr>
        <w:t xml:space="preserve">El programa EUROCLIMA es un proyecto de cooperación regional de la Comisión Europea, que tiene como objetivo apoyar a 18 países latinoamericanos en la implementación de sus Contribuciones </w:t>
      </w:r>
      <w:r>
        <w:rPr>
          <w:lang w:val="es-CO"/>
        </w:rPr>
        <w:t xml:space="preserve">Nacionalmente </w:t>
      </w:r>
      <w:r w:rsidRPr="00C15D1A">
        <w:rPr>
          <w:lang w:val="es-CO"/>
        </w:rPr>
        <w:t>Determinadas (NDC) en términos de adaptación y mitigación del cambio climático en el marco de la COP21, mediante la identificación e implementación de proyectos innovadores en seis sectores priorizados, identificados conjuntamente con los países de la zona, así como la promoción de un diálogo político nacional y regional.</w:t>
      </w:r>
    </w:p>
    <w:p w14:paraId="5B2B33FC" w14:textId="77777777" w:rsidR="00BE5437" w:rsidRPr="00C15D1A" w:rsidRDefault="00BE5437" w:rsidP="00BE5437">
      <w:pPr>
        <w:spacing w:line="276" w:lineRule="auto"/>
        <w:jc w:val="both"/>
        <w:rPr>
          <w:lang w:val="es-CO"/>
        </w:rPr>
      </w:pPr>
      <w:r w:rsidRPr="00C15D1A">
        <w:rPr>
          <w:lang w:val="es-CO"/>
        </w:rPr>
        <w:lastRenderedPageBreak/>
        <w:t>Cinco agencias de países miembros de la Unión Europea y dos agencias de las Naciones Unidas implementan las acciones del pr</w:t>
      </w:r>
      <w:r w:rsidR="00454DFD">
        <w:rPr>
          <w:lang w:val="es-CO"/>
        </w:rPr>
        <w:t>ograma. En el marco de la Fase 5 del P</w:t>
      </w:r>
      <w:r w:rsidRPr="00C15D1A">
        <w:rPr>
          <w:lang w:val="es-CO"/>
        </w:rPr>
        <w:t>rograma</w:t>
      </w:r>
      <w:r w:rsidR="00454DFD">
        <w:rPr>
          <w:lang w:val="es-CO"/>
        </w:rPr>
        <w:t xml:space="preserve"> EUROCLIMA</w:t>
      </w:r>
      <w:r w:rsidRPr="00C15D1A">
        <w:rPr>
          <w:lang w:val="es-CO"/>
        </w:rPr>
        <w:t xml:space="preserve">, Expertise France lidera </w:t>
      </w:r>
      <w:r w:rsidR="00454DFD">
        <w:rPr>
          <w:lang w:val="es-CO"/>
        </w:rPr>
        <w:t xml:space="preserve">el </w:t>
      </w:r>
      <w:r w:rsidRPr="00C15D1A">
        <w:rPr>
          <w:lang w:val="es-CO"/>
        </w:rPr>
        <w:t>diálogo</w:t>
      </w:r>
      <w:r w:rsidR="00454DFD">
        <w:rPr>
          <w:lang w:val="es-CO"/>
        </w:rPr>
        <w:t xml:space="preserve"> interinstitucional y político como </w:t>
      </w:r>
      <w:r w:rsidRPr="00C15D1A">
        <w:rPr>
          <w:lang w:val="es-CO"/>
        </w:rPr>
        <w:t>el principal interlocutor del Grupo AFD (AFD</w:t>
      </w:r>
      <w:r w:rsidR="00454DFD">
        <w:rPr>
          <w:lang w:val="es-CO"/>
        </w:rPr>
        <w:t>, Proparco</w:t>
      </w:r>
      <w:r w:rsidRPr="00C15D1A">
        <w:rPr>
          <w:lang w:val="es-CO"/>
        </w:rPr>
        <w:t xml:space="preserve"> y Expertise France) dentro del programa, </w:t>
      </w:r>
      <w:r>
        <w:rPr>
          <w:lang w:val="es-CO"/>
        </w:rPr>
        <w:t xml:space="preserve">y </w:t>
      </w:r>
      <w:r w:rsidRPr="00C15D1A">
        <w:rPr>
          <w:lang w:val="es-CO"/>
        </w:rPr>
        <w:t xml:space="preserve">enfoca sus intervenciones en la línea de acción 1 “Apoyo a las políticas públicas”, coordina acciones relacionadas con los sectores de bosques y biodiversidad, y asegura la capitalización de experiencias de proyectos sectoriales en curso en los sectores de Bosques, Biodiversidad y Ecosistemas y Producción Resiliente de Alimentos. </w:t>
      </w:r>
      <w:r>
        <w:rPr>
          <w:lang w:val="es-CO"/>
        </w:rPr>
        <w:t xml:space="preserve">Desde </w:t>
      </w:r>
      <w:r w:rsidRPr="00C15D1A">
        <w:rPr>
          <w:lang w:val="es-CO"/>
        </w:rPr>
        <w:t>la fase 4</w:t>
      </w:r>
      <w:r>
        <w:rPr>
          <w:lang w:val="es-CO"/>
        </w:rPr>
        <w:t xml:space="preserve"> de </w:t>
      </w:r>
      <w:r w:rsidR="00454DFD">
        <w:rPr>
          <w:lang w:val="es-CO"/>
        </w:rPr>
        <w:t>EUROCLIMA</w:t>
      </w:r>
      <w:r w:rsidRPr="00C15D1A">
        <w:rPr>
          <w:lang w:val="es-CO"/>
        </w:rPr>
        <w:t>, el programa promueve los Diálogos País</w:t>
      </w:r>
      <w:r>
        <w:rPr>
          <w:lang w:val="es-CO"/>
        </w:rPr>
        <w:t xml:space="preserve"> (DP)</w:t>
      </w:r>
      <w:r w:rsidRPr="00C15D1A">
        <w:rPr>
          <w:lang w:val="es-CO"/>
        </w:rPr>
        <w:t>, en una coordinación eficiente con los Puntos Focales Nacionales (PFN), los ministerios sectoriales e instituciones relevantes, para definir, programar e implementar las acciones prioritarias en cada país o región.</w:t>
      </w:r>
    </w:p>
    <w:p w14:paraId="23761F5E" w14:textId="77777777" w:rsidR="00BE5437" w:rsidRPr="00564B84" w:rsidRDefault="00BE5437" w:rsidP="00564B84">
      <w:pPr>
        <w:spacing w:line="276" w:lineRule="auto"/>
        <w:jc w:val="both"/>
        <w:rPr>
          <w:lang w:val="es-CO"/>
        </w:rPr>
      </w:pPr>
      <w:r w:rsidRPr="00454DFD">
        <w:rPr>
          <w:lang w:val="es-CO"/>
        </w:rPr>
        <w:t xml:space="preserve">En 2019, la GIZ y la FIIAPP iniciaron cuatro Diálogos País pilotos con el fin de desarrollar una </w:t>
      </w:r>
      <w:r w:rsidRPr="00564B84">
        <w:rPr>
          <w:lang w:val="es-CO"/>
        </w:rPr>
        <w:t>metodología de DP que se adapte a las especificidades del programa EUROCLIMA. Esta metodología permite identificar juntamente con el país las prioridades en las que el programa puede apoyarlos en materia de cambio climático, las acciones que pueden variar en función de la política climática del país y la capacidad del programa para atender la demanda.</w:t>
      </w:r>
    </w:p>
    <w:p w14:paraId="1EE37EEF" w14:textId="130CCAEE" w:rsidR="00BE5437" w:rsidRDefault="005256B0" w:rsidP="00564B84">
      <w:pPr>
        <w:jc w:val="both"/>
        <w:rPr>
          <w:rFonts w:ascii="Calibri" w:eastAsiaTheme="minorEastAsia" w:hAnsi="Calibri" w:cs="Calibri"/>
          <w:lang w:val="es-ES_tradnl" w:eastAsia="ja-JP"/>
        </w:rPr>
      </w:pPr>
      <w:r w:rsidRPr="00564B84">
        <w:t>En el año 202</w:t>
      </w:r>
      <w:r w:rsidR="00AC360E" w:rsidRPr="00564B84">
        <w:t>4</w:t>
      </w:r>
      <w:r w:rsidRPr="00564B84">
        <w:t>, el Ministerio de Ambiente y Energía (MINAE), como punto focal de</w:t>
      </w:r>
      <w:r w:rsidR="00173239" w:rsidRPr="00564B84">
        <w:t>l Programa</w:t>
      </w:r>
      <w:r w:rsidRPr="00564B84">
        <w:t xml:space="preserve"> EUROCLIMA en Costa Rica, solicitó el inicio del Diálogo País</w:t>
      </w:r>
      <w:r w:rsidR="00173239" w:rsidRPr="00564B84">
        <w:t xml:space="preserve"> en esta nueva etapa</w:t>
      </w:r>
      <w:r w:rsidRPr="00564B84">
        <w:t xml:space="preserve">. </w:t>
      </w:r>
      <w:r w:rsidR="00173239" w:rsidRPr="00564B84">
        <w:t xml:space="preserve">Se acordó entre las partes, impulsar la Estrategia Nacional de </w:t>
      </w:r>
      <w:proofErr w:type="spellStart"/>
      <w:r w:rsidR="00173239" w:rsidRPr="00564B84">
        <w:t>Agropaisajes</w:t>
      </w:r>
      <w:proofErr w:type="spellEnd"/>
      <w:r w:rsidR="00173239" w:rsidRPr="00564B84">
        <w:t xml:space="preserve"> </w:t>
      </w:r>
      <w:r w:rsidR="002820A0" w:rsidRPr="00564B84">
        <w:t xml:space="preserve">Sostenibles a través de acciones concretas con las instituciones del gobierno, especialmente en un diálogo constante con el </w:t>
      </w:r>
      <w:r w:rsidR="00564B84" w:rsidRPr="00564B84">
        <w:t>Ministerio de Agricultura y Ganadería y con sus entidades adscritas como el Servicio Fitosanitario del Estado.</w:t>
      </w:r>
      <w:r w:rsidR="00564B84">
        <w:t xml:space="preserve"> </w:t>
      </w:r>
      <w:r w:rsidR="00BE5437" w:rsidRPr="00564B84">
        <w:rPr>
          <w:rFonts w:ascii="Calibri" w:eastAsiaTheme="minorEastAsia" w:hAnsi="Calibri" w:cs="Calibri"/>
          <w:lang w:val="es-ES_tradnl" w:eastAsia="ja-JP"/>
        </w:rPr>
        <w:t xml:space="preserve">En el DP, la Delegación de la Unión Europea en </w:t>
      </w:r>
      <w:r w:rsidR="00454DFD" w:rsidRPr="00564B84">
        <w:rPr>
          <w:rFonts w:ascii="Calibri" w:eastAsiaTheme="minorEastAsia" w:hAnsi="Calibri" w:cs="Calibri"/>
          <w:lang w:val="es-ES_tradnl" w:eastAsia="ja-JP"/>
        </w:rPr>
        <w:t>Costa Rica</w:t>
      </w:r>
      <w:r w:rsidR="00BE5437" w:rsidRPr="00564B84">
        <w:rPr>
          <w:rFonts w:ascii="Calibri" w:eastAsiaTheme="minorEastAsia" w:hAnsi="Calibri" w:cs="Calibri"/>
          <w:lang w:val="es-ES_tradnl" w:eastAsia="ja-JP"/>
        </w:rPr>
        <w:t xml:space="preserve"> </w:t>
      </w:r>
      <w:r w:rsidR="00454DFD" w:rsidRPr="00564B84">
        <w:rPr>
          <w:rFonts w:ascii="Calibri" w:eastAsiaTheme="minorEastAsia" w:hAnsi="Calibri" w:cs="Calibri"/>
          <w:lang w:val="es-ES_tradnl" w:eastAsia="ja-JP"/>
        </w:rPr>
        <w:t>y el Ministerio de Ambiente y de Energía</w:t>
      </w:r>
      <w:r w:rsidR="00BE5437" w:rsidRPr="00564B84">
        <w:rPr>
          <w:rFonts w:ascii="Calibri" w:eastAsiaTheme="minorEastAsia" w:hAnsi="Calibri" w:cs="Calibri"/>
          <w:lang w:val="es-ES_tradnl" w:eastAsia="ja-JP"/>
        </w:rPr>
        <w:t xml:space="preserve"> estuvieron a cargo de brindar las orientaciones</w:t>
      </w:r>
      <w:r w:rsidR="00BE5437" w:rsidRPr="00D0648E">
        <w:rPr>
          <w:rFonts w:ascii="Calibri" w:eastAsiaTheme="minorEastAsia" w:hAnsi="Calibri" w:cs="Calibri"/>
          <w:lang w:val="es-ES_tradnl" w:eastAsia="ja-JP"/>
        </w:rPr>
        <w:t xml:space="preserve"> estratégicas para asegurar la coherencia y sinergias con la cooperación bilateral.</w:t>
      </w:r>
      <w:r w:rsidR="00BE5437">
        <w:rPr>
          <w:rFonts w:ascii="Calibri" w:eastAsiaTheme="minorEastAsia" w:hAnsi="Calibri" w:cs="Calibri"/>
          <w:lang w:val="es-ES_tradnl" w:eastAsia="ja-JP"/>
        </w:rPr>
        <w:t xml:space="preserve"> </w:t>
      </w:r>
    </w:p>
    <w:p w14:paraId="6CD1DA62" w14:textId="5BAF951D" w:rsidR="00564B84" w:rsidRDefault="00564B84" w:rsidP="00564B84">
      <w:pPr>
        <w:jc w:val="both"/>
        <w:rPr>
          <w:lang w:val="es-CO"/>
        </w:rPr>
      </w:pPr>
      <w:r>
        <w:rPr>
          <w:rFonts w:ascii="Calibri" w:eastAsiaTheme="minorEastAsia" w:hAnsi="Calibri" w:cs="Calibri"/>
          <w:lang w:val="es-ES_tradnl" w:eastAsia="ja-JP"/>
        </w:rPr>
        <w:t xml:space="preserve">Como resultado de este diálogo y de la definición de la acción </w:t>
      </w:r>
      <w:r>
        <w:t>“</w:t>
      </w:r>
      <w:r w:rsidRPr="00DC09F5">
        <w:t xml:space="preserve">Fomento a la competitividad y buenas prácticas de productores agrícolas, en alineamiento a la Estrategia Nacional de </w:t>
      </w:r>
      <w:proofErr w:type="spellStart"/>
      <w:r w:rsidRPr="00DC09F5">
        <w:t>Agropaisajes</w:t>
      </w:r>
      <w:proofErr w:type="spellEnd"/>
      <w:r w:rsidRPr="00DC09F5">
        <w:t xml:space="preserve"> Sostenibles y la Agenda de Inversiones Global Gat</w:t>
      </w:r>
      <w:r>
        <w:t xml:space="preserve">eway (GGIA) de la Unión Europea” </w:t>
      </w:r>
      <w:r w:rsidRPr="00AB015A">
        <w:t>del Plan de Acción País (PAP) de EUROCLIMA para Costa Rica</w:t>
      </w:r>
      <w:r>
        <w:t xml:space="preserve"> se identificó la necesidad de apoyar </w:t>
      </w:r>
      <w:r>
        <w:rPr>
          <w:lang w:val="es-CO"/>
        </w:rPr>
        <w:t xml:space="preserve">al gobierno de Costa Rica en el desarrollo de una </w:t>
      </w:r>
      <w:r w:rsidRPr="00564B84">
        <w:rPr>
          <w:b/>
          <w:lang w:val="es-CO"/>
        </w:rPr>
        <w:t>plataforma asincrónica (</w:t>
      </w:r>
      <w:proofErr w:type="spellStart"/>
      <w:r w:rsidRPr="00564B84">
        <w:rPr>
          <w:b/>
          <w:lang w:val="es-CO"/>
        </w:rPr>
        <w:t>blended</w:t>
      </w:r>
      <w:proofErr w:type="spellEnd"/>
      <w:r w:rsidRPr="00564B84">
        <w:rPr>
          <w:b/>
          <w:lang w:val="es-CO"/>
        </w:rPr>
        <w:t>) de capacitación en Buenas Prácticas Agrícolas (BPA)</w:t>
      </w:r>
      <w:r>
        <w:rPr>
          <w:lang w:val="es-CO"/>
        </w:rPr>
        <w:t xml:space="preserve">. A continuación, en este documento de Términos de Referencia, Expertise France presenta la justificación, describe la acción y las necesidades en forma de objetivos, actividades, entregables, plazos, entre otros, para la adecuada presentación de ofertas técnicas de los interesados en participar en el desarrollo de la </w:t>
      </w:r>
      <w:r w:rsidRPr="00BF5721">
        <w:rPr>
          <w:lang w:val="es-CO"/>
        </w:rPr>
        <w:t>plataforma asincrónic</w:t>
      </w:r>
      <w:r>
        <w:rPr>
          <w:lang w:val="es-CO"/>
        </w:rPr>
        <w:t>a (</w:t>
      </w:r>
      <w:proofErr w:type="spellStart"/>
      <w:r>
        <w:rPr>
          <w:lang w:val="es-CO"/>
        </w:rPr>
        <w:t>blended</w:t>
      </w:r>
      <w:proofErr w:type="spellEnd"/>
      <w:r>
        <w:rPr>
          <w:lang w:val="es-CO"/>
        </w:rPr>
        <w:t>) de capacitación en Buenas Prácticas A</w:t>
      </w:r>
      <w:r w:rsidRPr="00BF5721">
        <w:rPr>
          <w:lang w:val="es-CO"/>
        </w:rPr>
        <w:t>grícolas (</w:t>
      </w:r>
      <w:r>
        <w:rPr>
          <w:lang w:val="es-CO"/>
        </w:rPr>
        <w:t>BPA</w:t>
      </w:r>
      <w:r w:rsidRPr="00BF5721">
        <w:rPr>
          <w:lang w:val="es-CO"/>
        </w:rPr>
        <w:t>)</w:t>
      </w:r>
      <w:r>
        <w:rPr>
          <w:lang w:val="es-CO"/>
        </w:rPr>
        <w:t>.</w:t>
      </w:r>
    </w:p>
    <w:p w14:paraId="43D56136" w14:textId="77777777" w:rsidR="00564B84" w:rsidRPr="00564B84" w:rsidRDefault="00564B84" w:rsidP="00564B84">
      <w:pPr>
        <w:jc w:val="both"/>
      </w:pPr>
    </w:p>
    <w:p w14:paraId="18894BF3" w14:textId="276E48E2" w:rsidR="00BE5437" w:rsidRDefault="002A0A3B" w:rsidP="00454DFD">
      <w:pPr>
        <w:pStyle w:val="Titre2"/>
        <w:keepLines/>
        <w:widowControl/>
        <w:numPr>
          <w:ilvl w:val="1"/>
          <w:numId w:val="0"/>
        </w:numPr>
        <w:spacing w:after="240" w:line="276" w:lineRule="auto"/>
        <w:jc w:val="both"/>
        <w:rPr>
          <w:color w:val="002060"/>
          <w:sz w:val="22"/>
          <w:szCs w:val="22"/>
          <w:lang w:val="es-CO"/>
        </w:rPr>
      </w:pPr>
      <w:bookmarkStart w:id="4" w:name="_Toc179973781"/>
      <w:r>
        <w:rPr>
          <w:color w:val="002060"/>
          <w:sz w:val="22"/>
          <w:szCs w:val="22"/>
          <w:lang w:val="es-CO"/>
        </w:rPr>
        <w:t>3</w:t>
      </w:r>
      <w:r w:rsidR="00817F78">
        <w:rPr>
          <w:color w:val="002060"/>
          <w:sz w:val="22"/>
          <w:szCs w:val="22"/>
          <w:lang w:val="es-CO"/>
        </w:rPr>
        <w:t>.</w:t>
      </w:r>
      <w:r>
        <w:rPr>
          <w:color w:val="002060"/>
          <w:sz w:val="22"/>
          <w:szCs w:val="22"/>
          <w:lang w:val="es-CO"/>
        </w:rPr>
        <w:tab/>
      </w:r>
      <w:r w:rsidR="00BE5437" w:rsidRPr="00C15D1A">
        <w:rPr>
          <w:color w:val="002060"/>
          <w:sz w:val="22"/>
          <w:szCs w:val="22"/>
          <w:lang w:val="es-CO"/>
        </w:rPr>
        <w:t>Justificación</w:t>
      </w:r>
      <w:bookmarkEnd w:id="4"/>
    </w:p>
    <w:p w14:paraId="66337ACC" w14:textId="77777777" w:rsidR="00454DFD" w:rsidRPr="00AB015A" w:rsidRDefault="00454DFD" w:rsidP="00454DFD">
      <w:pPr>
        <w:jc w:val="both"/>
      </w:pPr>
      <w:r w:rsidRPr="00AB015A">
        <w:t xml:space="preserve">Costa Rica impulsa la Iniciativa de Agropaisajes Sostenibles (IAPS) como una propuesta de mitigación y adaptación al cambio climático, orientada a consolidar sistemas productivos resilientes capaces de producir </w:t>
      </w:r>
      <w:r>
        <w:t>“</w:t>
      </w:r>
      <w:proofErr w:type="spellStart"/>
      <w:r w:rsidRPr="00AB015A">
        <w:t>commodities</w:t>
      </w:r>
      <w:proofErr w:type="spellEnd"/>
      <w:r>
        <w:t>”</w:t>
      </w:r>
      <w:r w:rsidRPr="00AB015A">
        <w:t xml:space="preserve"> con </w:t>
      </w:r>
      <w:proofErr w:type="gramStart"/>
      <w:r w:rsidRPr="00AB015A">
        <w:t>cero deforestación neta</w:t>
      </w:r>
      <w:proofErr w:type="gramEnd"/>
      <w:r w:rsidRPr="00AB015A">
        <w:t xml:space="preserve">, acelerar la transición hacia paisajes carbono neutrales, reducir el uso de agroquímicos y conservar bosques y otros ecosistemas de alto valor. En este marco, y considerando compromisos del Plan Nacional de Descarbonización y la Estrategia </w:t>
      </w:r>
      <w:r w:rsidRPr="00AB015A">
        <w:lastRenderedPageBreak/>
        <w:t xml:space="preserve">Nacional de Agropaisajes Sostenibles, </w:t>
      </w:r>
      <w:r w:rsidR="00413441">
        <w:t>el Ministerio de Ambiente y Energía (</w:t>
      </w:r>
      <w:r w:rsidRPr="00AB015A">
        <w:t>MINAE</w:t>
      </w:r>
      <w:r w:rsidR="00413441">
        <w:t>)</w:t>
      </w:r>
      <w:r w:rsidRPr="00AB015A">
        <w:t xml:space="preserve"> y </w:t>
      </w:r>
      <w:r w:rsidR="00413441">
        <w:t>el Ministerio de Ambiente y Ganadería (</w:t>
      </w:r>
      <w:r w:rsidRPr="00AB015A">
        <w:t>MAG</w:t>
      </w:r>
      <w:r w:rsidR="00413441">
        <w:t>)</w:t>
      </w:r>
      <w:r w:rsidRPr="00AB015A">
        <w:t xml:space="preserve"> han priorizado instrumentos operativos que permitan materializar esa visión en territorio y fortalecer la competitividad de las cadenas productivas.</w:t>
      </w:r>
    </w:p>
    <w:p w14:paraId="5FFAD5EC" w14:textId="77777777" w:rsidR="00454DFD" w:rsidRPr="00AB015A" w:rsidRDefault="00454DFD" w:rsidP="00454DFD">
      <w:pPr>
        <w:jc w:val="both"/>
      </w:pPr>
      <w:r w:rsidRPr="00AB015A">
        <w:t xml:space="preserve">La Acción </w:t>
      </w:r>
      <w:r>
        <w:t>“</w:t>
      </w:r>
      <w:r w:rsidRPr="00DC09F5">
        <w:t>Fomento a la competitividad y buenas prácticas de productores agrícolas, en alineamiento a la Estrategia Nacional de Agropaisajes Sostenibles y la Agenda de Inversiones Global Gat</w:t>
      </w:r>
      <w:r>
        <w:t xml:space="preserve">eway (GGIA) de la Unión Europea” </w:t>
      </w:r>
      <w:r w:rsidRPr="00AB015A">
        <w:t>del Plan de Acción País (PAP) de EUROCLIMA para Costa Rica se enmarca en la Agenda de Inversiones Global Gateway (GGIA) y en el enfoque "Equipo Europa", que busca movilizar inversión pública y privada para conexiones inteligentes, limpias y seguras, y para fortalecer sectores clave del desarrollo sostenible. En Costa Rica, la Unión Europea ha señalado que, a través de Global Gateway, trabaja con el país en una agenda de inversión que incluye el apoyo a la estrategia de agropaisajes, además de transporte sostenible, conectividad digital segura y finanzas sostenibles, entre otros ejes.</w:t>
      </w:r>
    </w:p>
    <w:p w14:paraId="34EDBB91" w14:textId="0AC7667A" w:rsidR="00454DFD" w:rsidRDefault="00454DFD" w:rsidP="00454DFD">
      <w:pPr>
        <w:jc w:val="both"/>
      </w:pPr>
      <w:r w:rsidRPr="00AB015A">
        <w:t>De manera complementaria, los requisitos del mercado europeo evolucionan rápidamente. Un ejemplo es el Reglamento (UE) 2023/1115 sobre productos libres de deforestación (EUDR), que establece obligaciones de debida diligencia y trazabilidad para ciertas materias primas y productos. La UE ha aprobado ajustes al calendario de aplicación, por lo que resulta clave que el país cuente con herramientas oficiales y capacidades operativas para demostrar cumplimiento ("</w:t>
      </w:r>
      <w:proofErr w:type="gramStart"/>
      <w:r w:rsidRPr="00AB015A">
        <w:t>cero deforestación</w:t>
      </w:r>
      <w:proofErr w:type="gramEnd"/>
      <w:r w:rsidRPr="00AB015A">
        <w:t>", legalidad y gestión responsable), reducir riesgos de acceso a mercado y sostener reputación-país.</w:t>
      </w:r>
    </w:p>
    <w:p w14:paraId="1EB31A35" w14:textId="77777777" w:rsidR="00564B84" w:rsidRDefault="00564B84" w:rsidP="00454DFD">
      <w:pPr>
        <w:jc w:val="both"/>
      </w:pPr>
    </w:p>
    <w:p w14:paraId="1F4174AE" w14:textId="1567B7B9" w:rsidR="002A0A3B" w:rsidRPr="00817F78" w:rsidRDefault="00817F78" w:rsidP="00392E51">
      <w:pPr>
        <w:pStyle w:val="Titre2"/>
        <w:rPr>
          <w:color w:val="1F4E79" w:themeColor="accent1" w:themeShade="80"/>
          <w:sz w:val="22"/>
          <w:szCs w:val="24"/>
        </w:rPr>
      </w:pPr>
      <w:r>
        <w:rPr>
          <w:color w:val="1F4E79" w:themeColor="accent1" w:themeShade="80"/>
          <w:sz w:val="22"/>
          <w:szCs w:val="24"/>
        </w:rPr>
        <w:t>4</w:t>
      </w:r>
      <w:r w:rsidR="00CC4C6D" w:rsidRPr="00817F78">
        <w:rPr>
          <w:color w:val="1F4E79" w:themeColor="accent1" w:themeShade="80"/>
          <w:sz w:val="22"/>
          <w:szCs w:val="24"/>
        </w:rPr>
        <w:t>.</w:t>
      </w:r>
      <w:r w:rsidR="00CC4C6D" w:rsidRPr="00817F78">
        <w:rPr>
          <w:color w:val="1F4E79" w:themeColor="accent1" w:themeShade="80"/>
          <w:sz w:val="22"/>
          <w:szCs w:val="24"/>
        </w:rPr>
        <w:tab/>
        <w:t>Descripción de la Acción</w:t>
      </w:r>
      <w:r>
        <w:rPr>
          <w:color w:val="1F4E79" w:themeColor="accent1" w:themeShade="80"/>
          <w:sz w:val="22"/>
          <w:szCs w:val="24"/>
        </w:rPr>
        <w:t>.</w:t>
      </w:r>
    </w:p>
    <w:p w14:paraId="2707208B" w14:textId="77777777" w:rsidR="00DE3265" w:rsidRPr="00DE3265" w:rsidRDefault="00DE3265" w:rsidP="00DE3265">
      <w:pPr>
        <w:rPr>
          <w:lang w:eastAsia="fr-FR"/>
        </w:rPr>
      </w:pPr>
    </w:p>
    <w:p w14:paraId="27635D2A" w14:textId="1CD46908" w:rsidR="00413441" w:rsidRDefault="00817F78" w:rsidP="000B144A">
      <w:pPr>
        <w:pStyle w:val="Titre2"/>
        <w:rPr>
          <w:sz w:val="22"/>
          <w:szCs w:val="24"/>
        </w:rPr>
      </w:pPr>
      <w:r>
        <w:rPr>
          <w:sz w:val="22"/>
          <w:szCs w:val="24"/>
        </w:rPr>
        <w:t>4</w:t>
      </w:r>
      <w:r w:rsidR="00A27B40" w:rsidRPr="000B144A">
        <w:rPr>
          <w:sz w:val="22"/>
          <w:szCs w:val="24"/>
        </w:rPr>
        <w:t>.1</w:t>
      </w:r>
      <w:r w:rsidR="00A27B40" w:rsidRPr="000B144A">
        <w:rPr>
          <w:sz w:val="22"/>
          <w:szCs w:val="24"/>
        </w:rPr>
        <w:tab/>
      </w:r>
      <w:r w:rsidR="00A0290B" w:rsidRPr="000B144A">
        <w:rPr>
          <w:sz w:val="22"/>
          <w:szCs w:val="24"/>
        </w:rPr>
        <w:t>Las Buenas Prácticas Agrícolas y el Sistema Tico BPA:</w:t>
      </w:r>
    </w:p>
    <w:p w14:paraId="51B668CB" w14:textId="77777777" w:rsidR="004331F6" w:rsidRPr="00817F78" w:rsidRDefault="004331F6" w:rsidP="00500512">
      <w:pPr>
        <w:jc w:val="both"/>
      </w:pPr>
    </w:p>
    <w:p w14:paraId="72D43666" w14:textId="685CF881" w:rsidR="00500512" w:rsidRPr="00500512" w:rsidRDefault="00500512" w:rsidP="00500512">
      <w:pPr>
        <w:jc w:val="both"/>
        <w:rPr>
          <w:lang w:val="es-CO"/>
        </w:rPr>
      </w:pPr>
      <w:r w:rsidRPr="00500512">
        <w:rPr>
          <w:lang w:val="es-CO"/>
        </w:rPr>
        <w:t xml:space="preserve">Desde la arquitectura de la gobernanza para el desarrollo sostenible, el sistema de </w:t>
      </w:r>
      <w:r w:rsidRPr="00500512">
        <w:rPr>
          <w:b/>
          <w:bCs/>
          <w:lang w:val="es-CO"/>
        </w:rPr>
        <w:t>Buenas Prácticas Agrícolas (BPA)</w:t>
      </w:r>
      <w:r w:rsidRPr="00500512">
        <w:rPr>
          <w:lang w:val="es-CO"/>
        </w:rPr>
        <w:t xml:space="preserve"> en Costa Rica se define como el conjunto de intervenciones técnicas aplicadas en toda la cadena de valor —desde la finca hasta la entrega al consumidor— para prevenir o reducir daños ambientales, asegurar la productividad y garantizar la inocuidad de los alimentos. Este sistema constituye un pilar estratégico de la </w:t>
      </w:r>
      <w:r w:rsidRPr="00500512">
        <w:rPr>
          <w:b/>
          <w:bCs/>
          <w:lang w:val="es-CO"/>
        </w:rPr>
        <w:t xml:space="preserve">Agenda </w:t>
      </w:r>
      <w:r w:rsidR="00B535FC" w:rsidRPr="00500512">
        <w:rPr>
          <w:b/>
          <w:bCs/>
          <w:lang w:val="es-CO"/>
        </w:rPr>
        <w:t>Agroambiente</w:t>
      </w:r>
      <w:r w:rsidRPr="00500512">
        <w:rPr>
          <w:b/>
          <w:bCs/>
          <w:lang w:val="es-CO"/>
        </w:rPr>
        <w:t xml:space="preserve"> 2030</w:t>
      </w:r>
      <w:r w:rsidRPr="00500512">
        <w:rPr>
          <w:lang w:val="es-CO"/>
        </w:rPr>
        <w:t xml:space="preserve"> y la </w:t>
      </w:r>
      <w:r w:rsidRPr="00500512">
        <w:rPr>
          <w:b/>
          <w:bCs/>
          <w:lang w:val="es-CO"/>
        </w:rPr>
        <w:t>Política Pública para los Plaguicidas de Uso Agrícola 2024-2034</w:t>
      </w:r>
      <w:r w:rsidRPr="00500512">
        <w:rPr>
          <w:lang w:val="es-CO"/>
        </w:rPr>
        <w:t>, integrando la competitividad comercial con la protección de la salud pública y la biodiversidad.</w:t>
      </w:r>
    </w:p>
    <w:p w14:paraId="5237E6BB" w14:textId="77777777" w:rsidR="00500512" w:rsidRPr="00500512" w:rsidRDefault="00500512" w:rsidP="00500512">
      <w:pPr>
        <w:jc w:val="both"/>
        <w:rPr>
          <w:lang w:val="es-CO"/>
        </w:rPr>
      </w:pPr>
      <w:r w:rsidRPr="00500512">
        <w:rPr>
          <w:lang w:val="es-CO"/>
        </w:rPr>
        <w:t>A continuación, se detalla el funcionamiento técnico y la articulación del sistema nacional de BPA descrito en los marcos normativos actuales:</w:t>
      </w:r>
    </w:p>
    <w:p w14:paraId="459B818E" w14:textId="70F774A8" w:rsidR="00500512" w:rsidRDefault="00817F78" w:rsidP="00500512">
      <w:pPr>
        <w:jc w:val="both"/>
        <w:rPr>
          <w:b/>
          <w:bCs/>
          <w:lang w:val="es-CO"/>
        </w:rPr>
      </w:pPr>
      <w:r>
        <w:rPr>
          <w:b/>
          <w:bCs/>
          <w:lang w:val="es-CO"/>
        </w:rPr>
        <w:t>4</w:t>
      </w:r>
      <w:r w:rsidR="00575E56">
        <w:rPr>
          <w:b/>
          <w:bCs/>
          <w:lang w:val="es-CO"/>
        </w:rPr>
        <w:t>.1.</w:t>
      </w:r>
      <w:r w:rsidR="00A35398">
        <w:rPr>
          <w:b/>
          <w:bCs/>
          <w:lang w:val="es-CO"/>
        </w:rPr>
        <w:t>1</w:t>
      </w:r>
      <w:r w:rsidR="00A35398">
        <w:rPr>
          <w:b/>
          <w:bCs/>
          <w:lang w:val="es-CO"/>
        </w:rPr>
        <w:tab/>
      </w:r>
      <w:r w:rsidR="00500512" w:rsidRPr="00500512">
        <w:rPr>
          <w:b/>
          <w:bCs/>
          <w:lang w:val="es-CO"/>
        </w:rPr>
        <w:t>Liderazgo Institucional y Programa Integral</w:t>
      </w:r>
    </w:p>
    <w:p w14:paraId="79C5F475" w14:textId="77777777" w:rsidR="00500512" w:rsidRPr="00500512" w:rsidRDefault="00500512" w:rsidP="00500512">
      <w:pPr>
        <w:jc w:val="both"/>
        <w:rPr>
          <w:lang w:val="es-CO"/>
        </w:rPr>
      </w:pPr>
      <w:r w:rsidRPr="00500512">
        <w:rPr>
          <w:lang w:val="es-CO"/>
        </w:rPr>
        <w:t xml:space="preserve">El sistema es liderado operativamente por el </w:t>
      </w:r>
      <w:r w:rsidRPr="00500512">
        <w:rPr>
          <w:b/>
          <w:bCs/>
          <w:lang w:val="es-CO"/>
        </w:rPr>
        <w:t>Servicio Fitosanitario del Estado (SFE)</w:t>
      </w:r>
      <w:r w:rsidRPr="00500512">
        <w:rPr>
          <w:lang w:val="es-CO"/>
        </w:rPr>
        <w:t xml:space="preserve">, el cual administra el programa nacional de BPA existente. Sin embargo, la política actual ha evolucionado hacia un </w:t>
      </w:r>
      <w:r w:rsidRPr="00500512">
        <w:rPr>
          <w:b/>
          <w:bCs/>
          <w:lang w:val="es-CO"/>
        </w:rPr>
        <w:t>Programa Integral de BPA</w:t>
      </w:r>
      <w:r w:rsidRPr="00500512">
        <w:rPr>
          <w:lang w:val="es-CO"/>
        </w:rPr>
        <w:t xml:space="preserve">, el cual trasciende la visión fitosanitaria tradicional para incorporar una gobernanza tripartita entre el Ministerio de Agricultura y Ganadería (MAG), el Ministerio de Salud (MS) y el Ministerio de Ambiente y Energía (MINAE). Esta articulación asegura que las prácticas no solo se </w:t>
      </w:r>
      <w:r w:rsidRPr="00500512">
        <w:rPr>
          <w:lang w:val="es-CO"/>
        </w:rPr>
        <w:lastRenderedPageBreak/>
        <w:t>enfoquen en la productividad, sino también en la gestión del riesgo químico, la adaptación al cambio climático y la protección del recurso hídrico.</w:t>
      </w:r>
    </w:p>
    <w:p w14:paraId="3A401E78" w14:textId="3E53F839" w:rsidR="00500512" w:rsidRDefault="00817F78" w:rsidP="00500512">
      <w:pPr>
        <w:jc w:val="both"/>
        <w:rPr>
          <w:b/>
          <w:bCs/>
        </w:rPr>
      </w:pPr>
      <w:r>
        <w:rPr>
          <w:b/>
          <w:bCs/>
        </w:rPr>
        <w:t>4</w:t>
      </w:r>
      <w:r w:rsidR="00A35398">
        <w:rPr>
          <w:b/>
          <w:bCs/>
        </w:rPr>
        <w:t>.1.</w:t>
      </w:r>
      <w:r w:rsidR="00500512" w:rsidRPr="00500512">
        <w:rPr>
          <w:b/>
          <w:bCs/>
        </w:rPr>
        <w:t>2</w:t>
      </w:r>
      <w:r w:rsidR="0096339C">
        <w:rPr>
          <w:b/>
          <w:bCs/>
        </w:rPr>
        <w:tab/>
      </w:r>
      <w:r w:rsidR="00500512" w:rsidRPr="00500512">
        <w:rPr>
          <w:b/>
          <w:bCs/>
        </w:rPr>
        <w:t xml:space="preserve"> Mecanismos de Funcionamiento y Certificación</w:t>
      </w:r>
    </w:p>
    <w:p w14:paraId="48DDC613" w14:textId="77777777" w:rsidR="00500512" w:rsidRPr="00500512" w:rsidRDefault="00500512" w:rsidP="00500512">
      <w:pPr>
        <w:jc w:val="both"/>
        <w:rPr>
          <w:lang w:val="es-CO"/>
        </w:rPr>
      </w:pPr>
      <w:r w:rsidRPr="00500512">
        <w:rPr>
          <w:lang w:val="es-CO"/>
        </w:rPr>
        <w:t>El sistema opera mediante los siguientes componentes técnicos:</w:t>
      </w:r>
    </w:p>
    <w:p w14:paraId="6E43A707" w14:textId="77777777" w:rsidR="00B95462" w:rsidRPr="004D6057" w:rsidRDefault="00500512" w:rsidP="0087163E">
      <w:pPr>
        <w:pStyle w:val="Paragraphedeliste"/>
        <w:numPr>
          <w:ilvl w:val="0"/>
          <w:numId w:val="7"/>
        </w:numPr>
        <w:jc w:val="both"/>
        <w:rPr>
          <w:iCs/>
          <w:lang w:val="es-CR"/>
        </w:rPr>
      </w:pPr>
      <w:r w:rsidRPr="004D6057">
        <w:rPr>
          <w:b/>
          <w:bCs/>
          <w:iCs/>
          <w:lang w:val="es-CR"/>
        </w:rPr>
        <w:t>Capacitación y sensibilización:</w:t>
      </w:r>
      <w:r w:rsidRPr="004D6057">
        <w:rPr>
          <w:iCs/>
          <w:lang w:val="es-CR"/>
        </w:rPr>
        <w:t xml:space="preserve"> El sistema ejecuta procesos de formación para personas productoras y personal técnico. </w:t>
      </w:r>
      <w:r w:rsidRPr="00B95462">
        <w:rPr>
          <w:iCs/>
          <w:lang w:val="es-CR"/>
        </w:rPr>
        <w:t>En el marco de esta consultoría, la plataforma asincrónica deberá contribuir de forma verificable al escalamiento de dicha meta institucional, procurando alcanzar al menos 750 personas usuarias acumuladas al 2028, equivalentes al 62,5% de la meta de 1.200 personas, con una expectativa de crecimiento anual mínima de 5% en los años subsiguientes.</w:t>
      </w:r>
    </w:p>
    <w:p w14:paraId="6D2D667F" w14:textId="76DF4414" w:rsidR="00500512" w:rsidRPr="004D6057" w:rsidRDefault="00500512" w:rsidP="0087163E">
      <w:pPr>
        <w:pStyle w:val="Paragraphedeliste"/>
        <w:numPr>
          <w:ilvl w:val="0"/>
          <w:numId w:val="7"/>
        </w:numPr>
        <w:jc w:val="both"/>
        <w:rPr>
          <w:iCs/>
          <w:lang w:val="es-CR"/>
        </w:rPr>
      </w:pPr>
      <w:r w:rsidRPr="00B95462">
        <w:rPr>
          <w:b/>
          <w:bCs/>
          <w:iCs/>
          <w:lang w:val="es-CR"/>
        </w:rPr>
        <w:t>Implementación de protocolos:</w:t>
      </w:r>
      <w:r w:rsidRPr="00B95462">
        <w:rPr>
          <w:iCs/>
          <w:lang w:val="es-CR"/>
        </w:rPr>
        <w:t xml:space="preserve"> Los contenidos de la plataforma se alinearán con las BPAs priorizadas por el MAG–SFE y con los módulos vigentes del programa TicoBPA. </w:t>
      </w:r>
      <w:r w:rsidRPr="004D6057">
        <w:rPr>
          <w:iCs/>
          <w:lang w:val="es-CR"/>
        </w:rPr>
        <w:t xml:space="preserve">Para </w:t>
      </w:r>
      <w:r w:rsidRPr="00B95462">
        <w:rPr>
          <w:iCs/>
          <w:lang w:val="es-CR"/>
        </w:rPr>
        <w:t xml:space="preserve">los cultivos priorizados, </w:t>
      </w:r>
      <w:r w:rsidRPr="004D6057">
        <w:rPr>
          <w:iCs/>
          <w:lang w:val="es-CR"/>
        </w:rPr>
        <w:t>la mediación pedagógica retomará las prácticas ya definidas en las guías técnicas, incluyendo manejo y conservación de suelos, fertilización, manejo integrado de plagas y enfermedades, manejo de agua, registros, uso seguro de agroquímicos y disposición segura de envases, entre otras prácticas aplicables.</w:t>
      </w:r>
    </w:p>
    <w:p w14:paraId="01C219A4" w14:textId="77777777" w:rsidR="00500512" w:rsidRDefault="00500512" w:rsidP="0087163E">
      <w:pPr>
        <w:numPr>
          <w:ilvl w:val="0"/>
          <w:numId w:val="2"/>
        </w:numPr>
        <w:jc w:val="both"/>
        <w:rPr>
          <w:lang w:val="es-CO"/>
        </w:rPr>
      </w:pPr>
      <w:r w:rsidRPr="00500512">
        <w:rPr>
          <w:b/>
          <w:bCs/>
          <w:lang w:val="es-CO"/>
        </w:rPr>
        <w:t>Certificación como Distintivo de Mercado:</w:t>
      </w:r>
      <w:r w:rsidRPr="00500512">
        <w:rPr>
          <w:lang w:val="es-CO"/>
        </w:rPr>
        <w:t xml:space="preserve"> El programa otorga certificaciones que funcionan como un sello de excelencia, reconociendo a los productores que cumplen con estándares de sustentabilidad y seguridad alimentaria. Estas certificaciones son </w:t>
      </w:r>
      <w:r w:rsidR="006E1E55" w:rsidRPr="00500512">
        <w:rPr>
          <w:lang w:val="es-CO"/>
        </w:rPr>
        <w:t>voluntarias,</w:t>
      </w:r>
      <w:r w:rsidRPr="00500512">
        <w:rPr>
          <w:lang w:val="es-CO"/>
        </w:rPr>
        <w:t xml:space="preserve"> pero se promueven como un requisito esencial para acceder a mercados internacionales de alto valor.</w:t>
      </w:r>
    </w:p>
    <w:p w14:paraId="53BC653E" w14:textId="752217FB" w:rsidR="00500512" w:rsidRDefault="00817F78" w:rsidP="00500512">
      <w:pPr>
        <w:jc w:val="both"/>
        <w:rPr>
          <w:b/>
          <w:bCs/>
          <w:lang w:val="es-CO"/>
        </w:rPr>
      </w:pPr>
      <w:r>
        <w:rPr>
          <w:b/>
          <w:bCs/>
          <w:lang w:val="es-CO"/>
        </w:rPr>
        <w:t>4</w:t>
      </w:r>
      <w:r w:rsidR="00DF64AA">
        <w:rPr>
          <w:b/>
          <w:bCs/>
          <w:lang w:val="es-CO"/>
        </w:rPr>
        <w:t>.1.</w:t>
      </w:r>
      <w:r w:rsidR="00500512" w:rsidRPr="00500512">
        <w:rPr>
          <w:b/>
          <w:bCs/>
          <w:lang w:val="es-CO"/>
        </w:rPr>
        <w:t>3</w:t>
      </w:r>
      <w:r w:rsidR="00DF64AA">
        <w:rPr>
          <w:b/>
          <w:bCs/>
          <w:lang w:val="es-CO"/>
        </w:rPr>
        <w:tab/>
      </w:r>
      <w:r w:rsidR="00500512" w:rsidRPr="00500512">
        <w:rPr>
          <w:b/>
          <w:bCs/>
          <w:lang w:val="es-CO"/>
        </w:rPr>
        <w:t xml:space="preserve"> Relación con el sistema nacional (TicoBPA)</w:t>
      </w:r>
    </w:p>
    <w:p w14:paraId="7D84ED1C" w14:textId="31C8ADDA" w:rsidR="00500512" w:rsidRPr="001C20D8" w:rsidRDefault="00304E51" w:rsidP="001C20D8">
      <w:pPr>
        <w:jc w:val="both"/>
        <w:rPr>
          <w:iCs/>
        </w:rPr>
      </w:pPr>
      <w:r w:rsidRPr="001C20D8">
        <w:rPr>
          <w:iCs/>
        </w:rPr>
        <w:t>El Programa de BPA liderado por el SFE, conocido comercialmente como TicoBPA, se encuentra en proceso de implementación y fortalecimiento. La relación estratégica entre este programa y la política climática se articulará mediante mecanismos que fortalezcan la capacitación, el seguimiento y la mejora continua, sin sustituir las competencias institucionales ya existentes</w:t>
      </w:r>
      <w:r w:rsidR="001E0D94" w:rsidRPr="001C20D8">
        <w:rPr>
          <w:iCs/>
        </w:rPr>
        <w:t>, bajo el marco de la agenda Agroambiente</w:t>
      </w:r>
      <w:r w:rsidR="00DF2619" w:rsidRPr="001C20D8">
        <w:rPr>
          <w:iCs/>
        </w:rPr>
        <w:t>, la Iniciativa de Agropaisajes Sostenibles (IA</w:t>
      </w:r>
      <w:r w:rsidR="00F947CD" w:rsidRPr="001C20D8">
        <w:rPr>
          <w:iCs/>
        </w:rPr>
        <w:t>P</w:t>
      </w:r>
      <w:r w:rsidR="00DF2619" w:rsidRPr="001C20D8">
        <w:rPr>
          <w:iCs/>
        </w:rPr>
        <w:t>S)</w:t>
      </w:r>
      <w:r w:rsidR="001E0D94" w:rsidRPr="001C20D8">
        <w:rPr>
          <w:iCs/>
        </w:rPr>
        <w:t xml:space="preserve"> </w:t>
      </w:r>
      <w:r w:rsidR="00707382" w:rsidRPr="001C20D8">
        <w:rPr>
          <w:iCs/>
        </w:rPr>
        <w:t>y los acuerdos institucionales y mecanismos de coordinación</w:t>
      </w:r>
      <w:r w:rsidR="00A44915" w:rsidRPr="001C20D8">
        <w:rPr>
          <w:iCs/>
        </w:rPr>
        <w:t xml:space="preserve"> interinstitucional</w:t>
      </w:r>
      <w:r w:rsidRPr="001C20D8">
        <w:rPr>
          <w:iCs/>
        </w:rPr>
        <w:t>.</w:t>
      </w:r>
    </w:p>
    <w:p w14:paraId="25AA1091" w14:textId="77777777" w:rsidR="004226FC" w:rsidRPr="004226FC" w:rsidRDefault="00500512" w:rsidP="0087163E">
      <w:pPr>
        <w:pStyle w:val="Paragraphedeliste"/>
        <w:numPr>
          <w:ilvl w:val="0"/>
          <w:numId w:val="8"/>
        </w:numPr>
        <w:jc w:val="both"/>
        <w:rPr>
          <w:iCs/>
          <w:lang w:val="es-CR"/>
        </w:rPr>
      </w:pPr>
      <w:r w:rsidRPr="004D6057">
        <w:rPr>
          <w:b/>
          <w:bCs/>
          <w:iCs/>
          <w:lang w:val="es-CR"/>
        </w:rPr>
        <w:t>Trazabilidad digital e interoperabilidad:</w:t>
      </w:r>
      <w:r w:rsidRPr="004D6057">
        <w:rPr>
          <w:iCs/>
          <w:lang w:val="es-CR"/>
        </w:rPr>
        <w:t xml:space="preserve"> La plataforma deberá asegurar, como mínimo, el registro del aprendizaje, el seguimiento de avance, las evaluaciones, la emisión de constancias y la generación de reportes para la gestión del programa. </w:t>
      </w:r>
      <w:r w:rsidRPr="004226FC">
        <w:rPr>
          <w:iCs/>
          <w:lang w:val="es-CR"/>
        </w:rPr>
        <w:t>Cualquier interoperabilidad con otros sistemas institucionales deberá definirse posteriormente por el MAG–SFE, según su viabilidad técnica, normativa y presupuestaria.</w:t>
      </w:r>
    </w:p>
    <w:p w14:paraId="30C7575E" w14:textId="77777777" w:rsidR="00594163" w:rsidRDefault="00500512" w:rsidP="0087163E">
      <w:pPr>
        <w:pStyle w:val="Paragraphedeliste"/>
        <w:numPr>
          <w:ilvl w:val="0"/>
          <w:numId w:val="8"/>
        </w:numPr>
        <w:jc w:val="both"/>
        <w:rPr>
          <w:iCs/>
          <w:lang w:val="es-CR"/>
        </w:rPr>
      </w:pPr>
      <w:r w:rsidRPr="004226FC">
        <w:rPr>
          <w:b/>
          <w:bCs/>
          <w:iCs/>
          <w:lang w:val="es-CR"/>
        </w:rPr>
        <w:t>Cumplimiento de estándares y requisitos de mercado:</w:t>
      </w:r>
      <w:r w:rsidRPr="004226FC">
        <w:rPr>
          <w:iCs/>
          <w:lang w:val="es-CR"/>
        </w:rPr>
        <w:t xml:space="preserve"> La plataforma reforzará contenidos sobre cumplimiento de LMR, trazabilidad, uso seguro y responsable de agroquímicos y otros instrumentos aplicables a la producción responsable, en coherencia con la normativa nacional y con los requisitos de mercado relevantes para las cadenas priorizadas.</w:t>
      </w:r>
    </w:p>
    <w:p w14:paraId="5D9F3EA3" w14:textId="663B6EDA" w:rsidR="00500512" w:rsidRDefault="00500512" w:rsidP="0087163E">
      <w:pPr>
        <w:pStyle w:val="Paragraphedeliste"/>
        <w:numPr>
          <w:ilvl w:val="0"/>
          <w:numId w:val="8"/>
        </w:numPr>
        <w:jc w:val="both"/>
        <w:rPr>
          <w:iCs/>
          <w:lang w:val="es-CR"/>
        </w:rPr>
      </w:pPr>
      <w:r w:rsidRPr="00594163">
        <w:rPr>
          <w:b/>
          <w:bCs/>
          <w:iCs/>
          <w:lang w:val="es-CR"/>
        </w:rPr>
        <w:t>Vínculo con incentivos y reconocimiento:</w:t>
      </w:r>
      <w:r w:rsidRPr="00594163">
        <w:rPr>
          <w:iCs/>
          <w:lang w:val="es-CR"/>
        </w:rPr>
        <w:t xml:space="preserve"> La plataforma podrá generar evidencias de participación, aprobación y avance que fortalezcan la gestión del programa TicoBPA y respalden procesos institucionales de reconocimiento o priorización. </w:t>
      </w:r>
      <w:r w:rsidRPr="004D6057">
        <w:rPr>
          <w:iCs/>
          <w:lang w:val="es-CR"/>
        </w:rPr>
        <w:t>Cualquier vínculo formal con incentivos financieros o con otros instrumentos de fomento deberá ser definido por las entidades competentes.</w:t>
      </w:r>
    </w:p>
    <w:p w14:paraId="7B4EEFAC" w14:textId="38CD4F51" w:rsidR="00885C93" w:rsidRDefault="00885C93" w:rsidP="00885C93">
      <w:pPr>
        <w:jc w:val="both"/>
        <w:rPr>
          <w:iCs/>
        </w:rPr>
      </w:pPr>
    </w:p>
    <w:p w14:paraId="3768B224" w14:textId="77777777" w:rsidR="00DB7CE4" w:rsidRPr="00885C93" w:rsidRDefault="00DB7CE4" w:rsidP="00885C93">
      <w:pPr>
        <w:jc w:val="both"/>
        <w:rPr>
          <w:iCs/>
        </w:rPr>
      </w:pPr>
    </w:p>
    <w:p w14:paraId="4132E45C" w14:textId="562181D1" w:rsidR="005629E4" w:rsidRPr="00544A79" w:rsidRDefault="00817F78" w:rsidP="00544A79">
      <w:pPr>
        <w:pStyle w:val="Titre2"/>
        <w:rPr>
          <w:sz w:val="22"/>
          <w:szCs w:val="24"/>
          <w:lang w:val="es-CO"/>
        </w:rPr>
      </w:pPr>
      <w:r>
        <w:rPr>
          <w:color w:val="1F4E79" w:themeColor="accent1" w:themeShade="80"/>
          <w:sz w:val="22"/>
          <w:szCs w:val="24"/>
          <w:lang w:val="es-CO"/>
        </w:rPr>
        <w:lastRenderedPageBreak/>
        <w:t>4</w:t>
      </w:r>
      <w:r w:rsidR="008D6D12" w:rsidRPr="00817F78">
        <w:rPr>
          <w:color w:val="1F4E79" w:themeColor="accent1" w:themeShade="80"/>
          <w:sz w:val="22"/>
          <w:szCs w:val="24"/>
          <w:lang w:val="es-CO"/>
        </w:rPr>
        <w:t>.2</w:t>
      </w:r>
      <w:r w:rsidR="008D6D12" w:rsidRPr="00817F78">
        <w:rPr>
          <w:color w:val="1F4E79" w:themeColor="accent1" w:themeShade="80"/>
          <w:sz w:val="22"/>
          <w:szCs w:val="24"/>
          <w:lang w:val="es-CO"/>
        </w:rPr>
        <w:tab/>
      </w:r>
      <w:r w:rsidR="00C74231" w:rsidRPr="00817F78">
        <w:rPr>
          <w:color w:val="1F4E79" w:themeColor="accent1" w:themeShade="80"/>
          <w:sz w:val="22"/>
          <w:szCs w:val="24"/>
          <w:lang w:val="es-CO"/>
        </w:rPr>
        <w:t xml:space="preserve">Desafíos del Programa BPA a los que apunta el Apoyo de la Unión Europea a través </w:t>
      </w:r>
      <w:r w:rsidR="0073515A" w:rsidRPr="00817F78">
        <w:rPr>
          <w:color w:val="1F4E79" w:themeColor="accent1" w:themeShade="80"/>
          <w:sz w:val="22"/>
          <w:szCs w:val="24"/>
          <w:lang w:val="es-CO"/>
        </w:rPr>
        <w:t>d</w:t>
      </w:r>
      <w:r w:rsidR="00C74231" w:rsidRPr="00817F78">
        <w:rPr>
          <w:color w:val="1F4E79" w:themeColor="accent1" w:themeShade="80"/>
          <w:sz w:val="22"/>
          <w:szCs w:val="24"/>
          <w:lang w:val="es-CO"/>
        </w:rPr>
        <w:t xml:space="preserve">el Programa </w:t>
      </w:r>
      <w:r w:rsidR="0073515A" w:rsidRPr="00817F78">
        <w:rPr>
          <w:color w:val="1F4E79" w:themeColor="accent1" w:themeShade="80"/>
          <w:sz w:val="22"/>
          <w:szCs w:val="24"/>
          <w:lang w:val="es-CO"/>
        </w:rPr>
        <w:t>EUROCLIMA</w:t>
      </w:r>
      <w:r w:rsidR="00C74231" w:rsidRPr="00817F78">
        <w:rPr>
          <w:color w:val="1F4E79" w:themeColor="accent1" w:themeShade="80"/>
          <w:sz w:val="22"/>
          <w:szCs w:val="24"/>
          <w:lang w:val="es-CO"/>
        </w:rPr>
        <w:t>:</w:t>
      </w:r>
    </w:p>
    <w:p w14:paraId="586F728A" w14:textId="77777777" w:rsidR="00544A79" w:rsidRDefault="00544A79" w:rsidP="005629E4">
      <w:pPr>
        <w:jc w:val="both"/>
        <w:rPr>
          <w:bCs/>
          <w:lang w:val="es-CO"/>
        </w:rPr>
      </w:pPr>
    </w:p>
    <w:p w14:paraId="4689FF29" w14:textId="3365A11E" w:rsidR="005629E4" w:rsidRPr="0068355E" w:rsidRDefault="005629E4" w:rsidP="0068355E">
      <w:pPr>
        <w:jc w:val="both"/>
        <w:rPr>
          <w:iCs/>
        </w:rPr>
      </w:pPr>
      <w:r w:rsidRPr="0068355E">
        <w:rPr>
          <w:iCs/>
        </w:rPr>
        <w:t>Para el Programa EUROCLIMA de la Unión Europea, el fortalecimiento del sistema de Buenas Prácticas Agrícolas (BPA) en Costa Rica constituye una oportunidad estratégica para ampliar capacidades, sostener la competitividad y reforzar metas climáticas. El apoyo no parte de cero, sino de un programa TicoBPA ya consolidado por el SFE, cuyo reto actual es ampliar cobertura, fortalecer capacidades y mejorar la articulación interinstitucional con el MINAE y el Ministerio de Salud en el marco del Programa Integral de BPA.</w:t>
      </w:r>
    </w:p>
    <w:p w14:paraId="370E985E" w14:textId="75EE8EA1" w:rsidR="005629E4" w:rsidRDefault="005629E4" w:rsidP="00F820F3">
      <w:pPr>
        <w:jc w:val="both"/>
        <w:rPr>
          <w:iCs/>
        </w:rPr>
      </w:pPr>
      <w:r w:rsidRPr="00F820F3">
        <w:rPr>
          <w:iCs/>
        </w:rPr>
        <w:t>A continuación, se describen los desafíos estructurales, las metas programáticas y los criterios que justifican el diseño de una plataforma asincrónica como instrumento de escalamiento, estandarización de contenidos, seguimiento de usuarios y soporte a pilotos territoriales de adopción de BPA.</w:t>
      </w:r>
    </w:p>
    <w:p w14:paraId="24481626" w14:textId="77777777" w:rsidR="0054228B" w:rsidRDefault="0054228B" w:rsidP="00F820F3">
      <w:pPr>
        <w:jc w:val="both"/>
        <w:rPr>
          <w:iCs/>
        </w:rPr>
      </w:pPr>
    </w:p>
    <w:p w14:paraId="45F82B22" w14:textId="30415027" w:rsidR="005629E4" w:rsidRDefault="00817F78" w:rsidP="00E77CD3">
      <w:pPr>
        <w:pStyle w:val="Titre2"/>
        <w:rPr>
          <w:lang w:val="es-CO"/>
        </w:rPr>
      </w:pPr>
      <w:r>
        <w:rPr>
          <w:lang w:val="es-CO"/>
        </w:rPr>
        <w:t>4</w:t>
      </w:r>
      <w:r w:rsidR="005629E4" w:rsidRPr="00E77CD3">
        <w:rPr>
          <w:lang w:val="es-CO"/>
        </w:rPr>
        <w:t>.</w:t>
      </w:r>
      <w:r w:rsidR="00E77CD3" w:rsidRPr="00E77CD3">
        <w:rPr>
          <w:lang w:val="es-CO"/>
        </w:rPr>
        <w:t>2.1</w:t>
      </w:r>
      <w:r w:rsidR="00E77CD3" w:rsidRPr="00E77CD3">
        <w:rPr>
          <w:lang w:val="es-CO"/>
        </w:rPr>
        <w:tab/>
      </w:r>
      <w:r w:rsidR="005629E4" w:rsidRPr="00E77CD3">
        <w:rPr>
          <w:lang w:val="es-CO"/>
        </w:rPr>
        <w:t xml:space="preserve"> Desafíos Críticos para la Implementación de las BPA</w:t>
      </w:r>
    </w:p>
    <w:p w14:paraId="5C9BA126" w14:textId="77777777" w:rsidR="00F13BA9" w:rsidRDefault="00F13BA9" w:rsidP="005629E4">
      <w:pPr>
        <w:jc w:val="both"/>
        <w:rPr>
          <w:bCs/>
          <w:lang w:val="es-CO"/>
        </w:rPr>
      </w:pPr>
    </w:p>
    <w:p w14:paraId="59821AED" w14:textId="1C8CE4B1" w:rsidR="005629E4" w:rsidRPr="00672AFB" w:rsidRDefault="005629E4" w:rsidP="00672AFB">
      <w:pPr>
        <w:jc w:val="both"/>
        <w:rPr>
          <w:iCs/>
        </w:rPr>
      </w:pPr>
      <w:r w:rsidRPr="00672AFB">
        <w:rPr>
          <w:iCs/>
        </w:rPr>
        <w:t>La arquitectura de las políticas agroambientales en Costa Rica identifica barreras multidimensionales que limitan el escalamiento de las prácticas sostenibles. Estas brechas no son homogéneas entre instituciones y territorios, por lo que la consultoría deberá incluir un diagnóstico funcional breve que oriente el diseño de la plataforma y los pilotos.</w:t>
      </w:r>
    </w:p>
    <w:p w14:paraId="396135C3" w14:textId="77777777" w:rsidR="00C806D7" w:rsidRPr="00C806D7" w:rsidRDefault="005629E4" w:rsidP="0087163E">
      <w:pPr>
        <w:pStyle w:val="Paragraphedeliste"/>
        <w:numPr>
          <w:ilvl w:val="0"/>
          <w:numId w:val="9"/>
        </w:numPr>
        <w:jc w:val="both"/>
        <w:rPr>
          <w:iCs/>
          <w:lang w:val="es-CR"/>
        </w:rPr>
      </w:pPr>
      <w:r w:rsidRPr="004D6057">
        <w:rPr>
          <w:b/>
          <w:bCs/>
          <w:iCs/>
          <w:lang w:val="es-CR"/>
        </w:rPr>
        <w:t>Capacidad institucional y recursos:</w:t>
      </w:r>
      <w:r w:rsidRPr="004D6057">
        <w:rPr>
          <w:iCs/>
          <w:lang w:val="es-CR"/>
        </w:rPr>
        <w:t xml:space="preserve"> Las brechas institucionales no son homogéneas entre entidades; mientras el sector agrícola cuenta con capacidades instaladas, la implementación del enfoque integral de BPA requiere fortalecer la coordinación, disponibilidad de recursos y articulación operativa entre MAG–SFE, MINAE y Ministerio de Salud. </w:t>
      </w:r>
      <w:r w:rsidRPr="00C806D7">
        <w:rPr>
          <w:iCs/>
          <w:lang w:val="es-CR"/>
        </w:rPr>
        <w:t>La fase de arranque deberá identificar las brechas institucionales, tecnológicas y operativas más relevantes para el despliegue de la plataforma y su pilotaje.</w:t>
      </w:r>
    </w:p>
    <w:p w14:paraId="699BF526" w14:textId="77777777" w:rsidR="00C806D7" w:rsidRDefault="005629E4" w:rsidP="0087163E">
      <w:pPr>
        <w:pStyle w:val="Paragraphedeliste"/>
        <w:numPr>
          <w:ilvl w:val="0"/>
          <w:numId w:val="9"/>
        </w:numPr>
        <w:jc w:val="both"/>
        <w:rPr>
          <w:iCs/>
          <w:lang w:val="es-CR"/>
        </w:rPr>
      </w:pPr>
      <w:r w:rsidRPr="00C806D7">
        <w:rPr>
          <w:b/>
          <w:bCs/>
          <w:iCs/>
          <w:lang w:val="es-CR"/>
        </w:rPr>
        <w:t>Brechas de conocimiento en personas productoras del sector agrícola:</w:t>
      </w:r>
      <w:r w:rsidRPr="00C806D7">
        <w:rPr>
          <w:iCs/>
          <w:lang w:val="es-CR"/>
        </w:rPr>
        <w:t xml:space="preserve"> Persisten diferencias importantes en el acceso a información técnica, alfabetización digital y comprensión práctica de los requerimientos de BPA, particularmente para el uso seguro de agroquímicos, cumplimiento de LMR, registros y trazabilidad.</w:t>
      </w:r>
    </w:p>
    <w:p w14:paraId="2E68E332" w14:textId="77777777" w:rsidR="00C806D7" w:rsidRPr="00C806D7" w:rsidRDefault="005629E4" w:rsidP="0087163E">
      <w:pPr>
        <w:pStyle w:val="Paragraphedeliste"/>
        <w:numPr>
          <w:ilvl w:val="0"/>
          <w:numId w:val="9"/>
        </w:numPr>
        <w:jc w:val="both"/>
        <w:rPr>
          <w:iCs/>
          <w:lang w:val="es-CR"/>
        </w:rPr>
      </w:pPr>
      <w:r w:rsidRPr="00C806D7">
        <w:rPr>
          <w:b/>
          <w:bCs/>
          <w:iCs/>
          <w:lang w:val="es-CR"/>
        </w:rPr>
        <w:t xml:space="preserve">Resistencia cultural y dependencia química: </w:t>
      </w:r>
      <w:r w:rsidRPr="00C806D7">
        <w:rPr>
          <w:iCs/>
          <w:lang w:val="es-CR"/>
        </w:rPr>
        <w:t xml:space="preserve">Persiste un imaginario productivo que asocia la agricultura con el uso intensivo de insumos sintéticos. </w:t>
      </w:r>
      <w:r w:rsidRPr="004D6057">
        <w:rPr>
          <w:iCs/>
          <w:lang w:val="es-CR"/>
        </w:rPr>
        <w:t xml:space="preserve">La plataforma deberá incorporar metodologías prácticas, casos reales, materiales demostrativos y rutas de adopción progresiva que permitan reducir la dependencia de agroquímicos cuando técnicamente sea viable, sin comprometer la inocuidad ni el desempeño productivo. </w:t>
      </w:r>
      <w:r w:rsidRPr="00C806D7">
        <w:rPr>
          <w:iCs/>
          <w:lang w:val="es-CR"/>
        </w:rPr>
        <w:t>La pertinencia de prácticas como bioinsumos u otras alternativas sostenibles deberá adaptarse a la realidad técnica y regulatoria de cada cadena priorizada.</w:t>
      </w:r>
    </w:p>
    <w:p w14:paraId="3567E650" w14:textId="09C03975" w:rsidR="005629E4" w:rsidRPr="00CE4DBB" w:rsidRDefault="005629E4" w:rsidP="0087163E">
      <w:pPr>
        <w:pStyle w:val="Paragraphedeliste"/>
        <w:numPr>
          <w:ilvl w:val="0"/>
          <w:numId w:val="9"/>
        </w:numPr>
        <w:jc w:val="both"/>
        <w:rPr>
          <w:iCs/>
          <w:lang w:val="es-CR"/>
        </w:rPr>
      </w:pPr>
      <w:r w:rsidRPr="00C806D7">
        <w:rPr>
          <w:b/>
          <w:bCs/>
          <w:iCs/>
          <w:lang w:val="es-CR"/>
        </w:rPr>
        <w:t>Riesgos de exclusión social y digital:</w:t>
      </w:r>
      <w:r w:rsidRPr="00C806D7">
        <w:rPr>
          <w:iCs/>
          <w:lang w:val="es-CR"/>
        </w:rPr>
        <w:t xml:space="preserve"> Dado que ya existen experiencias de trabajo con productores de territorios indígenas y con distintos tipos de organización productiva, la plataforma deberá diseñarse con criterios de accesibilidad, acompañamiento y registro que no excluyan a productores individuales, asociaciones, territorios indígenas ni usuarios con baja alfabetización digital. </w:t>
      </w:r>
      <w:r w:rsidRPr="004D6057">
        <w:rPr>
          <w:iCs/>
          <w:lang w:val="es-CR"/>
        </w:rPr>
        <w:t>Cualquier vínculo con expedientes digitales u otros instrumentos de incentivo deberá ser definido por la institucionalidad competente.</w:t>
      </w:r>
    </w:p>
    <w:p w14:paraId="763B1E5D" w14:textId="77777777" w:rsidR="00CE4DBB" w:rsidRPr="00CE4DBB" w:rsidRDefault="00CE4DBB" w:rsidP="00CE4DBB">
      <w:pPr>
        <w:jc w:val="both"/>
        <w:rPr>
          <w:iCs/>
        </w:rPr>
      </w:pPr>
    </w:p>
    <w:p w14:paraId="6DFB50D1" w14:textId="707A1BAA" w:rsidR="005629E4" w:rsidRDefault="00817F78" w:rsidP="005078C7">
      <w:pPr>
        <w:pStyle w:val="Titre2"/>
        <w:rPr>
          <w:lang w:val="es-CO"/>
        </w:rPr>
      </w:pPr>
      <w:r>
        <w:rPr>
          <w:lang w:val="es-CO"/>
        </w:rPr>
        <w:lastRenderedPageBreak/>
        <w:t>4</w:t>
      </w:r>
      <w:r w:rsidR="005078C7" w:rsidRPr="005078C7">
        <w:rPr>
          <w:lang w:val="es-CO"/>
        </w:rPr>
        <w:t>.2.2</w:t>
      </w:r>
      <w:r w:rsidR="005078C7" w:rsidRPr="005078C7">
        <w:rPr>
          <w:lang w:val="es-CO"/>
        </w:rPr>
        <w:tab/>
      </w:r>
      <w:r w:rsidR="005629E4" w:rsidRPr="005078C7">
        <w:rPr>
          <w:lang w:val="es-CO"/>
        </w:rPr>
        <w:t>Metas Estratégicas y Técnicas (2024-2034)</w:t>
      </w:r>
    </w:p>
    <w:p w14:paraId="5617B96E" w14:textId="77777777" w:rsidR="008D39DA" w:rsidRPr="008D39DA" w:rsidRDefault="008D39DA" w:rsidP="008D39DA">
      <w:pPr>
        <w:rPr>
          <w:lang w:val="es-CO" w:eastAsia="fr-FR"/>
        </w:rPr>
      </w:pPr>
    </w:p>
    <w:p w14:paraId="235776B3" w14:textId="0B66F680" w:rsidR="005629E4" w:rsidRPr="008D39DA" w:rsidRDefault="005629E4" w:rsidP="008D39DA">
      <w:pPr>
        <w:jc w:val="both"/>
        <w:rPr>
          <w:iCs/>
        </w:rPr>
      </w:pPr>
      <w:r w:rsidRPr="008D39DA">
        <w:rPr>
          <w:iCs/>
        </w:rPr>
        <w:t xml:space="preserve">Para superar estos desafíos, la Política Pública para los Plaguicidas de Uso Agrícola 2024-2034 y la Agenda Agroambiente 2030 aportan metas de referencia. En estos TdR, dichas metas deben leerse como contexto programático general; la </w:t>
      </w:r>
      <w:r w:rsidR="00564B84" w:rsidRPr="00564B84">
        <w:rPr>
          <w:iCs/>
        </w:rPr>
        <w:t>plataforma asincrónica (</w:t>
      </w:r>
      <w:proofErr w:type="spellStart"/>
      <w:r w:rsidR="00564B84" w:rsidRPr="00564B84">
        <w:rPr>
          <w:iCs/>
        </w:rPr>
        <w:t>blended</w:t>
      </w:r>
      <w:proofErr w:type="spellEnd"/>
      <w:r w:rsidR="00564B84" w:rsidRPr="00564B84">
        <w:rPr>
          <w:iCs/>
        </w:rPr>
        <w:t>) de capacitación en Buenas Prácticas Agrícolas (BPA)</w:t>
      </w:r>
      <w:r w:rsidR="00564B84">
        <w:rPr>
          <w:iCs/>
        </w:rPr>
        <w:t xml:space="preserve"> </w:t>
      </w:r>
      <w:r w:rsidRPr="008D39DA">
        <w:rPr>
          <w:iCs/>
        </w:rPr>
        <w:t>contribuirá principalmente mediante capacitación, seguimiento, analítica y apoyo a la adopción de prácticas.</w:t>
      </w:r>
    </w:p>
    <w:p w14:paraId="6D717582" w14:textId="3C978C51" w:rsidR="005629E4" w:rsidRPr="00F6599E" w:rsidRDefault="005629E4" w:rsidP="0087163E">
      <w:pPr>
        <w:pStyle w:val="Paragraphedeliste"/>
        <w:numPr>
          <w:ilvl w:val="0"/>
          <w:numId w:val="10"/>
        </w:numPr>
        <w:jc w:val="both"/>
        <w:rPr>
          <w:iCs/>
          <w:lang w:val="es-CR"/>
        </w:rPr>
      </w:pPr>
      <w:r w:rsidRPr="00E61350">
        <w:rPr>
          <w:b/>
          <w:bCs/>
          <w:iCs/>
          <w:lang w:val="es-CR"/>
        </w:rPr>
        <w:t>Desarrollo del PIBPA:</w:t>
      </w:r>
      <w:r w:rsidRPr="003B54A0">
        <w:rPr>
          <w:iCs/>
          <w:lang w:val="es-CR"/>
        </w:rPr>
        <w:t xml:space="preserve"> Contribuir al fortalecimiento del Programa Integral de BPA mediante una plataforma de capacitación, seguimiento y generación de evidencia útil para su implementación progresiva.</w:t>
      </w:r>
    </w:p>
    <w:p w14:paraId="34B5FD2E" w14:textId="1DC11F7F" w:rsidR="005629E4" w:rsidRPr="00F6599E" w:rsidRDefault="005629E4" w:rsidP="0087163E">
      <w:pPr>
        <w:pStyle w:val="Paragraphedeliste"/>
        <w:numPr>
          <w:ilvl w:val="0"/>
          <w:numId w:val="10"/>
        </w:numPr>
        <w:jc w:val="both"/>
        <w:rPr>
          <w:iCs/>
          <w:lang w:val="es-CR"/>
        </w:rPr>
      </w:pPr>
      <w:r w:rsidRPr="00E61350">
        <w:rPr>
          <w:b/>
          <w:bCs/>
          <w:iCs/>
          <w:lang w:val="es-CR"/>
        </w:rPr>
        <w:t>Certificación y reconocimiento:</w:t>
      </w:r>
      <w:r w:rsidRPr="00F6599E">
        <w:rPr>
          <w:iCs/>
          <w:lang w:val="es-CR"/>
        </w:rPr>
        <w:t xml:space="preserve"> Fortalecer los procesos de preparación, capacitación y seguimiento asociados al programa TicoBPA, de manera que la plataforma sirva como soporte para constancias de formación y para procesos de mejora continua.</w:t>
      </w:r>
    </w:p>
    <w:p w14:paraId="44BE986A" w14:textId="4C7477CF" w:rsidR="005629E4" w:rsidRPr="00E61350" w:rsidRDefault="005629E4" w:rsidP="0087163E">
      <w:pPr>
        <w:pStyle w:val="Paragraphedeliste"/>
        <w:numPr>
          <w:ilvl w:val="0"/>
          <w:numId w:val="10"/>
        </w:numPr>
        <w:jc w:val="both"/>
        <w:rPr>
          <w:iCs/>
          <w:lang w:val="es-CR"/>
        </w:rPr>
      </w:pPr>
      <w:r w:rsidRPr="00E61350">
        <w:rPr>
          <w:b/>
          <w:bCs/>
          <w:iCs/>
          <w:lang w:val="es-CR"/>
        </w:rPr>
        <w:t>Reducción de impactos en salud:</w:t>
      </w:r>
      <w:r w:rsidRPr="00E61350">
        <w:rPr>
          <w:iCs/>
          <w:lang w:val="es-CR"/>
        </w:rPr>
        <w:t xml:space="preserve"> Incorporar contenidos y evidencias formativas orientadas al uso seguro y responsable de agroquímicos. La línea base y el seguimiento de los indicadores sanitarios deberán sustentarse en información oficial del Ministerio de Salud.</w:t>
      </w:r>
    </w:p>
    <w:p w14:paraId="5EE9F804" w14:textId="7BA7DFF8" w:rsidR="005629E4" w:rsidRPr="00E61350" w:rsidRDefault="005629E4" w:rsidP="0087163E">
      <w:pPr>
        <w:pStyle w:val="Paragraphedeliste"/>
        <w:numPr>
          <w:ilvl w:val="0"/>
          <w:numId w:val="10"/>
        </w:numPr>
        <w:jc w:val="both"/>
        <w:rPr>
          <w:iCs/>
          <w:lang w:val="es-CR"/>
        </w:rPr>
      </w:pPr>
      <w:r w:rsidRPr="00E61350">
        <w:rPr>
          <w:b/>
          <w:bCs/>
          <w:iCs/>
          <w:lang w:val="es-CR"/>
        </w:rPr>
        <w:t>Cumplimiento de residuos (LMR):</w:t>
      </w:r>
      <w:r w:rsidRPr="00E61350">
        <w:rPr>
          <w:iCs/>
          <w:lang w:val="es-CR"/>
        </w:rPr>
        <w:t xml:space="preserve"> Reforzar conocimientos y prácticas que contribuyan a reducir la tasa de no cumplimiento de LMR en vegetales frescos, tomando como referencia la meta sectorial de alcanzar al menos 19,3% al 2034.</w:t>
      </w:r>
    </w:p>
    <w:p w14:paraId="50DCA5AB" w14:textId="29109562" w:rsidR="005629E4" w:rsidRDefault="005629E4" w:rsidP="0087163E">
      <w:pPr>
        <w:pStyle w:val="Paragraphedeliste"/>
        <w:numPr>
          <w:ilvl w:val="0"/>
          <w:numId w:val="10"/>
        </w:numPr>
        <w:jc w:val="both"/>
        <w:rPr>
          <w:iCs/>
          <w:lang w:val="es-CR"/>
        </w:rPr>
      </w:pPr>
      <w:r w:rsidRPr="00E61350">
        <w:rPr>
          <w:b/>
          <w:bCs/>
          <w:iCs/>
          <w:lang w:val="es-CR"/>
        </w:rPr>
        <w:t>Coordinación interinstitucional:</w:t>
      </w:r>
      <w:r w:rsidRPr="00E61350">
        <w:rPr>
          <w:iCs/>
          <w:lang w:val="es-CR"/>
        </w:rPr>
        <w:t xml:space="preserve"> Identificar, durante la implementación, información y aprendizajes que puedan ser útiles para otros actores competentes en vigilancia ambiental, salud ocupacional y gestión territorial, sin atribuir a la plataforma resultados que excedan su alcance directo.</w:t>
      </w:r>
    </w:p>
    <w:p w14:paraId="51B7ED67" w14:textId="77777777" w:rsidR="00AA3045" w:rsidRPr="00AA3045" w:rsidRDefault="00AA3045" w:rsidP="00AA3045">
      <w:pPr>
        <w:jc w:val="both"/>
        <w:rPr>
          <w:iCs/>
        </w:rPr>
      </w:pPr>
    </w:p>
    <w:p w14:paraId="2A9AE347" w14:textId="29536BF9" w:rsidR="005629E4" w:rsidRPr="000E040A" w:rsidRDefault="00817F78" w:rsidP="000E040A">
      <w:pPr>
        <w:pStyle w:val="Titre2"/>
        <w:rPr>
          <w:lang w:val="es-CO"/>
        </w:rPr>
      </w:pPr>
      <w:r>
        <w:rPr>
          <w:lang w:val="es-CO"/>
        </w:rPr>
        <w:t>4</w:t>
      </w:r>
      <w:r w:rsidR="00A00339" w:rsidRPr="000E040A">
        <w:rPr>
          <w:lang w:val="es-CO"/>
        </w:rPr>
        <w:t>.2.3</w:t>
      </w:r>
      <w:r w:rsidR="000E040A" w:rsidRPr="000E040A">
        <w:rPr>
          <w:lang w:val="es-CO"/>
        </w:rPr>
        <w:tab/>
      </w:r>
      <w:r w:rsidR="005629E4" w:rsidRPr="000E040A">
        <w:rPr>
          <w:lang w:val="es-CO"/>
        </w:rPr>
        <w:t>Profundización en la Capacitación a Productores</w:t>
      </w:r>
    </w:p>
    <w:p w14:paraId="7B35ADAD" w14:textId="77777777" w:rsidR="00AA3045" w:rsidRDefault="00AA3045" w:rsidP="00AA3045">
      <w:pPr>
        <w:jc w:val="both"/>
        <w:rPr>
          <w:iCs/>
        </w:rPr>
      </w:pPr>
    </w:p>
    <w:p w14:paraId="147555D1" w14:textId="4796F698" w:rsidR="005629E4" w:rsidRPr="00AA3045" w:rsidRDefault="004E2012" w:rsidP="00AA3045">
      <w:pPr>
        <w:jc w:val="both"/>
        <w:rPr>
          <w:iCs/>
        </w:rPr>
      </w:pPr>
      <w:r w:rsidRPr="00AA3045">
        <w:rPr>
          <w:iCs/>
        </w:rPr>
        <w:t xml:space="preserve">Para el Programa EUROCLIMA de la Unión Europea y Expertise France, el fortalecimiento de capacidades se concibe como el motor del escalamiento operativo del programa TicoBPA. La </w:t>
      </w:r>
      <w:r w:rsidR="00564B84" w:rsidRPr="00564B84">
        <w:rPr>
          <w:iCs/>
        </w:rPr>
        <w:t>plataforma asincrónica (</w:t>
      </w:r>
      <w:proofErr w:type="spellStart"/>
      <w:r w:rsidR="00564B84" w:rsidRPr="00564B84">
        <w:rPr>
          <w:iCs/>
        </w:rPr>
        <w:t>blended</w:t>
      </w:r>
      <w:proofErr w:type="spellEnd"/>
      <w:r w:rsidR="00564B84" w:rsidRPr="00564B84">
        <w:rPr>
          <w:iCs/>
        </w:rPr>
        <w:t>) de capacitación en Buenas Prácticas Agrícolas (BPA)</w:t>
      </w:r>
      <w:r w:rsidR="00564B84">
        <w:rPr>
          <w:iCs/>
        </w:rPr>
        <w:t xml:space="preserve"> </w:t>
      </w:r>
      <w:r w:rsidRPr="00AA3045">
        <w:rPr>
          <w:iCs/>
        </w:rPr>
        <w:t>no debe limitarse a transferir información: deberá traducir contenidos técnicos en rutas de aprendizaje aplicadas para personas adultas productoras, con enfoque andragógico, acompañamiento blended y seguimiento verificable.</w:t>
      </w:r>
    </w:p>
    <w:p w14:paraId="7469FC81" w14:textId="634BDEFB" w:rsidR="005629E4" w:rsidRPr="00DA5084" w:rsidRDefault="00817F78" w:rsidP="00700F8C">
      <w:pPr>
        <w:pStyle w:val="Titre2"/>
        <w:rPr>
          <w:lang w:val="es-CO"/>
        </w:rPr>
      </w:pPr>
      <w:r>
        <w:rPr>
          <w:lang w:val="es-CO"/>
        </w:rPr>
        <w:t>4.2.3.1</w:t>
      </w:r>
      <w:r w:rsidR="003D3232" w:rsidRPr="00DA5084">
        <w:rPr>
          <w:lang w:val="es-CO"/>
        </w:rPr>
        <w:tab/>
      </w:r>
      <w:r w:rsidR="005629E4" w:rsidRPr="00DA5084">
        <w:rPr>
          <w:lang w:val="es-CO"/>
        </w:rPr>
        <w:t>Áreas de formación técnica</w:t>
      </w:r>
    </w:p>
    <w:p w14:paraId="2108C8F1" w14:textId="77777777" w:rsidR="00700F8C" w:rsidRDefault="00700F8C" w:rsidP="005629E4">
      <w:pPr>
        <w:jc w:val="both"/>
        <w:rPr>
          <w:bCs/>
          <w:lang w:val="es-CO"/>
        </w:rPr>
      </w:pPr>
    </w:p>
    <w:p w14:paraId="69118490" w14:textId="1AF48AB6" w:rsidR="005629E4" w:rsidRPr="00FC277E" w:rsidRDefault="005629E4" w:rsidP="00FC277E">
      <w:pPr>
        <w:jc w:val="both"/>
        <w:rPr>
          <w:iCs/>
        </w:rPr>
      </w:pPr>
      <w:r w:rsidRPr="00FC277E">
        <w:rPr>
          <w:iCs/>
        </w:rPr>
        <w:t>La capacitación se organizará a partir de la oferta existente del SFE, actualmente estructurada en tres módulos y 16 temas, los cuales deberán ser objeto de curaduría, actualización técnica, mediación pedagógica y adaptación digital. Los ejemplos y casos podrán contextualizarse por territorio o cadena de valor, sin alterar el núcleo técnico del programa TicoBPA salvo definición expresa del MAG–SFE.</w:t>
      </w:r>
    </w:p>
    <w:p w14:paraId="4A515667" w14:textId="77777777" w:rsidR="00D947F8" w:rsidRDefault="005629E4" w:rsidP="0087163E">
      <w:pPr>
        <w:pStyle w:val="Paragraphedeliste"/>
        <w:numPr>
          <w:ilvl w:val="0"/>
          <w:numId w:val="11"/>
        </w:numPr>
        <w:jc w:val="both"/>
        <w:rPr>
          <w:iCs/>
          <w:lang w:val="es-CR"/>
        </w:rPr>
      </w:pPr>
      <w:r w:rsidRPr="00D947F8">
        <w:rPr>
          <w:b/>
          <w:bCs/>
          <w:iCs/>
          <w:lang w:val="es-CR"/>
        </w:rPr>
        <w:t>Manejo Integrado de Plagas (MIP):</w:t>
      </w:r>
      <w:r w:rsidRPr="00D947F8">
        <w:rPr>
          <w:iCs/>
          <w:lang w:val="es-CR"/>
        </w:rPr>
        <w:t xml:space="preserve"> Formación aplicada en prevención, monitoreo y toma de decisiones para reducir riesgos y optimizar el uso de insumos, mediante contenidos prácticos alineados con las BPAs y con la realidad de las cadenas priorizadas.</w:t>
      </w:r>
    </w:p>
    <w:p w14:paraId="22C6E68D" w14:textId="77777777" w:rsidR="00D913FF" w:rsidRDefault="005629E4" w:rsidP="0087163E">
      <w:pPr>
        <w:pStyle w:val="Paragraphedeliste"/>
        <w:numPr>
          <w:ilvl w:val="0"/>
          <w:numId w:val="11"/>
        </w:numPr>
        <w:jc w:val="both"/>
        <w:rPr>
          <w:iCs/>
          <w:lang w:val="es-CR"/>
        </w:rPr>
      </w:pPr>
      <w:r w:rsidRPr="00D947F8">
        <w:rPr>
          <w:b/>
          <w:bCs/>
          <w:iCs/>
          <w:lang w:val="es-CR"/>
        </w:rPr>
        <w:lastRenderedPageBreak/>
        <w:t>Uso seguro y responsable de agroquímicos, suelos, agua y registros:</w:t>
      </w:r>
      <w:r w:rsidRPr="00D947F8">
        <w:rPr>
          <w:iCs/>
          <w:lang w:val="es-CR"/>
        </w:rPr>
        <w:t xml:space="preserve"> Formación orientada al cumplimiento del programa TicoBPA, incluyendo manejo de equipos, almacenamiento, mezcla y aplicación, protección de suelos y agua, registros productivos y trazabilidad.</w:t>
      </w:r>
    </w:p>
    <w:p w14:paraId="1ABF4FF7" w14:textId="0FE6C2AB" w:rsidR="005629E4" w:rsidRDefault="005629E4" w:rsidP="0087163E">
      <w:pPr>
        <w:pStyle w:val="Paragraphedeliste"/>
        <w:numPr>
          <w:ilvl w:val="0"/>
          <w:numId w:val="11"/>
        </w:numPr>
        <w:jc w:val="both"/>
        <w:rPr>
          <w:iCs/>
          <w:lang w:val="es-CR"/>
        </w:rPr>
      </w:pPr>
      <w:r w:rsidRPr="00D913FF">
        <w:rPr>
          <w:b/>
          <w:bCs/>
          <w:iCs/>
          <w:lang w:val="es-CR"/>
        </w:rPr>
        <w:t>Contenidos complementarios por cadena de valor:</w:t>
      </w:r>
      <w:r w:rsidRPr="00D913FF">
        <w:rPr>
          <w:iCs/>
          <w:lang w:val="es-CR"/>
        </w:rPr>
        <w:t xml:space="preserve"> Cuando el MAG–SFE lo valide, podrán incorporarse materiales complementarios sobre eficiencia productiva, adaptación climática u otras prácticas sostenibles pertinentes para cadenas como piña, café o cacao, sin comprometer la inocuidad ni desplazar el núcleo técnico del programa.</w:t>
      </w:r>
    </w:p>
    <w:p w14:paraId="72D7E6BB" w14:textId="77777777" w:rsidR="00D913FF" w:rsidRPr="00D913FF" w:rsidRDefault="00D913FF" w:rsidP="00D913FF">
      <w:pPr>
        <w:jc w:val="both"/>
        <w:rPr>
          <w:iCs/>
        </w:rPr>
      </w:pPr>
    </w:p>
    <w:p w14:paraId="60E27ED5" w14:textId="36E08B88" w:rsidR="00BD0DCA" w:rsidRDefault="005629E4" w:rsidP="0087163E">
      <w:pPr>
        <w:pStyle w:val="Titre2"/>
        <w:numPr>
          <w:ilvl w:val="3"/>
          <w:numId w:val="24"/>
        </w:numPr>
      </w:pPr>
      <w:r w:rsidRPr="00CC6199">
        <w:t>Metodologías Innovadoras y Modernización</w:t>
      </w:r>
    </w:p>
    <w:p w14:paraId="0EB06F95" w14:textId="574A8523" w:rsidR="00C31C39" w:rsidRDefault="00F66AFE" w:rsidP="00A44FF4">
      <w:pPr>
        <w:pStyle w:val="Titre2"/>
        <w:jc w:val="both"/>
        <w:rPr>
          <w:rFonts w:ascii="Calibri" w:hAnsi="Calibri" w:cs="Calibri"/>
          <w:b w:val="0"/>
          <w:bCs w:val="0"/>
          <w:iCs/>
          <w:sz w:val="22"/>
          <w:szCs w:val="22"/>
        </w:rPr>
      </w:pPr>
      <w:r w:rsidRPr="00C508C3">
        <w:rPr>
          <w:rFonts w:ascii="Calibri" w:hAnsi="Calibri" w:cs="Calibri"/>
          <w:b w:val="0"/>
          <w:bCs w:val="0"/>
          <w:iCs/>
          <w:sz w:val="22"/>
          <w:szCs w:val="22"/>
        </w:rPr>
        <w:t>Los módulos y la plataforma deberán diseñarse con un enfoque andragógico y de microaprendizaje, privilegiando secuencias cortas, lenguaje claro, tutoriales paso a paso, demostraciones audiovisuales, ejercicios de aplicación y evaluaciones breves. También deberá existir un módulo introductorio obligatorio sobre uso básico de la plataforma y herramientas digitales para personas usuarias con baja experiencia tecnológica.</w:t>
      </w:r>
    </w:p>
    <w:p w14:paraId="10787AB0" w14:textId="77777777" w:rsidR="00A44FF4" w:rsidRPr="00A44FF4" w:rsidRDefault="00A44FF4" w:rsidP="00A44FF4">
      <w:pPr>
        <w:rPr>
          <w:lang w:eastAsia="fr-FR"/>
        </w:rPr>
      </w:pPr>
    </w:p>
    <w:p w14:paraId="21B55DD4" w14:textId="77777777" w:rsidR="00C31C39" w:rsidRPr="00C508C3" w:rsidRDefault="00F66AFE" w:rsidP="00A44FF4">
      <w:pPr>
        <w:pStyle w:val="Titre2"/>
        <w:jc w:val="both"/>
        <w:rPr>
          <w:rFonts w:ascii="Calibri" w:hAnsi="Calibri" w:cs="Calibri"/>
          <w:b w:val="0"/>
          <w:bCs w:val="0"/>
          <w:iCs/>
          <w:sz w:val="22"/>
          <w:szCs w:val="22"/>
        </w:rPr>
      </w:pPr>
      <w:r w:rsidRPr="00C508C3">
        <w:rPr>
          <w:rFonts w:ascii="Calibri" w:hAnsi="Calibri" w:cs="Calibri"/>
          <w:b w:val="0"/>
          <w:bCs w:val="0"/>
          <w:iCs/>
          <w:sz w:val="22"/>
          <w:szCs w:val="22"/>
        </w:rPr>
        <w:t>Cuando resulte pertinente para módulos críticos, el oferente deberá proponer mecanismos de evidencia práctica o verificación en campo —por ejemplo, listas de cotejo, fotografías, formularios o validación por personal extensionista— para complementar la evaluación en línea. Asimismo, deberá definir especificaciones técnicas verificables para operación en baja conectividad, incluyendo compatibilidad móvil, materiales livianos, compresión de video y opciones de consulta o descarga fuera de línea cuando la herramienta lo permita.</w:t>
      </w:r>
    </w:p>
    <w:p w14:paraId="45DD586B" w14:textId="77777777" w:rsidR="00CC6199" w:rsidRPr="00C508C3" w:rsidRDefault="00CC6199" w:rsidP="00A516D3">
      <w:pPr>
        <w:jc w:val="both"/>
        <w:rPr>
          <w:rFonts w:ascii="Calibri" w:hAnsi="Calibri" w:cs="Calibri"/>
          <w:lang w:eastAsia="fr-FR"/>
        </w:rPr>
      </w:pPr>
    </w:p>
    <w:p w14:paraId="5A51E77A" w14:textId="3308A9FE" w:rsidR="005629E4" w:rsidRDefault="00817F78" w:rsidP="00A516D3">
      <w:pPr>
        <w:pStyle w:val="Titre2"/>
        <w:jc w:val="both"/>
        <w:rPr>
          <w:lang w:val="es-CO"/>
        </w:rPr>
      </w:pPr>
      <w:r>
        <w:rPr>
          <w:lang w:val="es-CO"/>
        </w:rPr>
        <w:t>4</w:t>
      </w:r>
      <w:r w:rsidR="001C67B1" w:rsidRPr="00BD7438">
        <w:rPr>
          <w:lang w:val="es-CO"/>
        </w:rPr>
        <w:t>.2.3.</w:t>
      </w:r>
      <w:r w:rsidR="005629E4" w:rsidRPr="00BD7438">
        <w:rPr>
          <w:lang w:val="es-CO"/>
        </w:rPr>
        <w:t>3</w:t>
      </w:r>
      <w:r w:rsidR="001C67B1" w:rsidRPr="00BD7438">
        <w:rPr>
          <w:lang w:val="es-CO"/>
        </w:rPr>
        <w:tab/>
      </w:r>
      <w:r w:rsidR="005629E4" w:rsidRPr="00BD7438">
        <w:rPr>
          <w:lang w:val="es-CO"/>
        </w:rPr>
        <w:t>Enfoque de Género e Inclusión en la Formación</w:t>
      </w:r>
    </w:p>
    <w:p w14:paraId="132A1807" w14:textId="77777777" w:rsidR="00C31C39" w:rsidRPr="00A516D3" w:rsidRDefault="00F66AFE" w:rsidP="00A516D3">
      <w:pPr>
        <w:pStyle w:val="Titre2"/>
        <w:jc w:val="both"/>
        <w:rPr>
          <w:rFonts w:asciiTheme="minorHAnsi" w:hAnsiTheme="minorHAnsi" w:cstheme="minorHAnsi"/>
          <w:b w:val="0"/>
          <w:bCs w:val="0"/>
          <w:iCs/>
          <w:sz w:val="22"/>
          <w:szCs w:val="24"/>
        </w:rPr>
      </w:pPr>
      <w:r w:rsidRPr="00A516D3">
        <w:rPr>
          <w:rFonts w:asciiTheme="minorHAnsi" w:hAnsiTheme="minorHAnsi" w:cstheme="minorHAnsi"/>
          <w:b w:val="0"/>
          <w:bCs w:val="0"/>
          <w:iCs/>
          <w:sz w:val="22"/>
          <w:szCs w:val="24"/>
        </w:rPr>
        <w:t>La estrategia de formación deberá procurar y monitorear la participación de mujeres, jóvenes y población indígena, tomando como referencia la experiencia previa del SFE. El diseño pedagógico deberá considerar accesibilidad, lenguaje sencillo, recursos visuales, acompañamiento inicial, navegación intuitiva y mecanismos de soporte que faciliten el uso de la plataforma por parte de personas adultas con distintos niveles de escolaridad y alfabetización digital.</w:t>
      </w:r>
    </w:p>
    <w:p w14:paraId="728026BF" w14:textId="77777777" w:rsidR="00DE557C" w:rsidRDefault="00DE557C" w:rsidP="00A516D3">
      <w:pPr>
        <w:jc w:val="both"/>
        <w:rPr>
          <w:bCs/>
        </w:rPr>
      </w:pPr>
    </w:p>
    <w:p w14:paraId="02092137" w14:textId="3E2A2953" w:rsidR="005629E4" w:rsidRPr="005629E4" w:rsidRDefault="005629E4" w:rsidP="00A516D3">
      <w:pPr>
        <w:jc w:val="both"/>
        <w:rPr>
          <w:bCs/>
          <w:lang w:val="es-CO"/>
        </w:rPr>
      </w:pPr>
      <w:r w:rsidRPr="005629E4">
        <w:rPr>
          <w:bCs/>
          <w:lang w:val="es-CO"/>
        </w:rPr>
        <w:t>Para asegurar una transición justa, el programa establece acciones afirmativas:</w:t>
      </w:r>
    </w:p>
    <w:p w14:paraId="334BF2CE" w14:textId="77777777" w:rsidR="00C31C39" w:rsidRPr="00A516D3" w:rsidRDefault="00F66AFE" w:rsidP="00A516D3">
      <w:pPr>
        <w:jc w:val="both"/>
        <w:rPr>
          <w:iCs/>
        </w:rPr>
      </w:pPr>
      <w:r w:rsidRPr="00A516D3">
        <w:rPr>
          <w:iCs/>
        </w:rPr>
        <w:t>Las variables sociodemográficas que se soliciten a las personas usuarias deberán diferenciar entre datos obligatorios para la gestión del programa y datos opcionales para fines estadísticos, incorporando consentimiento informado, medidas de seguridad y reglas de acceso acordes con la normativa costarricense de protección de datos personales.</w:t>
      </w:r>
    </w:p>
    <w:p w14:paraId="4E44D70D" w14:textId="5EC1C01F" w:rsidR="005629E4" w:rsidRDefault="005629E4" w:rsidP="005629E4">
      <w:pPr>
        <w:jc w:val="both"/>
        <w:rPr>
          <w:bCs/>
          <w:lang w:val="es-CO"/>
        </w:rPr>
      </w:pPr>
      <w:r w:rsidRPr="005629E4">
        <w:rPr>
          <w:bCs/>
          <w:lang w:val="es-CO"/>
        </w:rPr>
        <w:t xml:space="preserve">En conclusión, el éxito del programa BPA en Costa Rica depende de su capacidad para transformar el conocimiento técnico en una herramienta de empoderamiento económico para el habitante rural, quien es valorado como el custodio primordial del </w:t>
      </w:r>
      <w:proofErr w:type="spellStart"/>
      <w:r w:rsidRPr="005629E4">
        <w:rPr>
          <w:bCs/>
          <w:lang w:val="es-CO"/>
        </w:rPr>
        <w:t>agropaisaje</w:t>
      </w:r>
      <w:proofErr w:type="spellEnd"/>
      <w:r w:rsidRPr="005629E4">
        <w:rPr>
          <w:bCs/>
          <w:lang w:val="es-CO"/>
        </w:rPr>
        <w:t xml:space="preserve"> sostenible.</w:t>
      </w:r>
    </w:p>
    <w:p w14:paraId="49F44818" w14:textId="721FF7E6" w:rsidR="00564B84" w:rsidRDefault="00564B84" w:rsidP="005629E4">
      <w:pPr>
        <w:jc w:val="both"/>
        <w:rPr>
          <w:bCs/>
          <w:lang w:val="es-CO"/>
        </w:rPr>
      </w:pPr>
    </w:p>
    <w:p w14:paraId="4F762CB0" w14:textId="77777777" w:rsidR="00564B84" w:rsidRPr="005629E4" w:rsidRDefault="00564B84" w:rsidP="005629E4">
      <w:pPr>
        <w:jc w:val="both"/>
        <w:rPr>
          <w:bCs/>
          <w:lang w:val="es-CO"/>
        </w:rPr>
      </w:pPr>
    </w:p>
    <w:p w14:paraId="41FAFA25" w14:textId="1EAA8975" w:rsidR="004E2012" w:rsidRPr="00817F78" w:rsidRDefault="00817F78" w:rsidP="00D77780">
      <w:pPr>
        <w:pStyle w:val="Titre2"/>
        <w:rPr>
          <w:color w:val="1F4E79" w:themeColor="accent1" w:themeShade="80"/>
          <w:sz w:val="22"/>
          <w:szCs w:val="24"/>
          <w:lang w:val="es-CO"/>
        </w:rPr>
      </w:pPr>
      <w:r>
        <w:rPr>
          <w:color w:val="1F4E79" w:themeColor="accent1" w:themeShade="80"/>
          <w:sz w:val="22"/>
          <w:szCs w:val="24"/>
          <w:lang w:val="es-CO"/>
        </w:rPr>
        <w:lastRenderedPageBreak/>
        <w:t>4</w:t>
      </w:r>
      <w:r w:rsidR="00C274C3" w:rsidRPr="00817F78">
        <w:rPr>
          <w:color w:val="1F4E79" w:themeColor="accent1" w:themeShade="80"/>
          <w:sz w:val="22"/>
          <w:szCs w:val="24"/>
          <w:lang w:val="es-CO"/>
        </w:rPr>
        <w:t>.3.</w:t>
      </w:r>
      <w:r w:rsidR="00C274C3" w:rsidRPr="00817F78">
        <w:rPr>
          <w:color w:val="1F4E79" w:themeColor="accent1" w:themeShade="80"/>
          <w:sz w:val="22"/>
          <w:szCs w:val="24"/>
          <w:lang w:val="es-CO"/>
        </w:rPr>
        <w:tab/>
      </w:r>
      <w:r w:rsidR="00706208" w:rsidRPr="00817F78">
        <w:rPr>
          <w:color w:val="1F4E79" w:themeColor="accent1" w:themeShade="80"/>
          <w:sz w:val="22"/>
          <w:szCs w:val="24"/>
          <w:lang w:val="es-CO"/>
        </w:rPr>
        <w:t xml:space="preserve">La Necesidad de </w:t>
      </w:r>
      <w:r w:rsidR="00C274C3" w:rsidRPr="00817F78">
        <w:rPr>
          <w:color w:val="1F4E79" w:themeColor="accent1" w:themeShade="80"/>
          <w:sz w:val="22"/>
          <w:szCs w:val="24"/>
          <w:lang w:val="es-CO"/>
        </w:rPr>
        <w:t>u</w:t>
      </w:r>
      <w:r w:rsidR="00706208" w:rsidRPr="00817F78">
        <w:rPr>
          <w:color w:val="1F4E79" w:themeColor="accent1" w:themeShade="80"/>
          <w:sz w:val="22"/>
          <w:szCs w:val="24"/>
          <w:lang w:val="es-CO"/>
        </w:rPr>
        <w:t>na Plataforma</w:t>
      </w:r>
      <w:r w:rsidR="00C274C3" w:rsidRPr="00817F78">
        <w:rPr>
          <w:color w:val="1F4E79" w:themeColor="accent1" w:themeShade="80"/>
          <w:sz w:val="22"/>
          <w:szCs w:val="24"/>
          <w:lang w:val="es-CO"/>
        </w:rPr>
        <w:t xml:space="preserve"> Asincrónica</w:t>
      </w:r>
      <w:r w:rsidR="00706208" w:rsidRPr="00817F78">
        <w:rPr>
          <w:color w:val="1F4E79" w:themeColor="accent1" w:themeShade="80"/>
          <w:sz w:val="22"/>
          <w:szCs w:val="24"/>
          <w:lang w:val="es-CO"/>
        </w:rPr>
        <w:t>:</w:t>
      </w:r>
    </w:p>
    <w:p w14:paraId="1CCD1DC7" w14:textId="77777777" w:rsidR="00DE557C" w:rsidRDefault="00DE557C" w:rsidP="00A11054">
      <w:pPr>
        <w:jc w:val="both"/>
      </w:pPr>
    </w:p>
    <w:p w14:paraId="497041D2" w14:textId="07E5FAA4" w:rsidR="007966F3" w:rsidRDefault="00856475" w:rsidP="00A11054">
      <w:pPr>
        <w:jc w:val="both"/>
        <w:rPr>
          <w:b/>
          <w:bCs/>
          <w:lang w:val="es-CO"/>
        </w:rPr>
      </w:pPr>
      <w:r>
        <w:t>El Servicio Fitosanitario del Estado (SFE) impulsa el Programa TICO-BPA como esquema nacional de certificación y mejora continua en Buenas Prácticas Agrícolas, con énfasis en inocuidad, uso seguro y responsable de agroquímicos, cumplimiento de Límites Máximos de Residuos (LMR), protección de suelos y agua, trazabilidad y mejora del desempeño productivo. No obstante, la cobertura de los procesos presenciales y la disponibilidad de cupos, tiempos y recursos para asistencia técnica limitan la velocidad de escalamiento de la capacitación y del acompañamiento requerido por los productores y organizaciones, especialmente en territorios con conectividad variable y alta heterogeneidad de sistemas productivos.</w:t>
      </w:r>
    </w:p>
    <w:p w14:paraId="37885562" w14:textId="77777777" w:rsidR="00762BF6" w:rsidRDefault="006A7954" w:rsidP="00DE557C">
      <w:pPr>
        <w:jc w:val="both"/>
        <w:rPr>
          <w:iCs/>
        </w:rPr>
      </w:pPr>
      <w:r w:rsidRPr="00DE557C">
        <w:rPr>
          <w:iCs/>
        </w:rPr>
        <w:t xml:space="preserve">Para atender estos retos, se requiere el diseño e implementación de una plataforma asincrónica (blended) que permita: </w:t>
      </w:r>
    </w:p>
    <w:p w14:paraId="2B09338F" w14:textId="77777777" w:rsidR="008874B4" w:rsidRPr="008874B4" w:rsidRDefault="006A7954" w:rsidP="0087163E">
      <w:pPr>
        <w:pStyle w:val="Paragraphedeliste"/>
        <w:numPr>
          <w:ilvl w:val="0"/>
          <w:numId w:val="12"/>
        </w:numPr>
        <w:jc w:val="both"/>
        <w:rPr>
          <w:iCs/>
          <w:lang w:val="es-CR"/>
        </w:rPr>
      </w:pPr>
      <w:r w:rsidRPr="008874B4">
        <w:rPr>
          <w:iCs/>
          <w:lang w:val="es-CR"/>
        </w:rPr>
        <w:t>ampliar y democratizar el acceso a contenidos oficiales y estandarizados de BPA;</w:t>
      </w:r>
    </w:p>
    <w:p w14:paraId="01EB370A" w14:textId="77777777" w:rsidR="00D8474A" w:rsidRPr="004D6057" w:rsidRDefault="006A7954" w:rsidP="0087163E">
      <w:pPr>
        <w:pStyle w:val="Paragraphedeliste"/>
        <w:numPr>
          <w:ilvl w:val="0"/>
          <w:numId w:val="12"/>
        </w:numPr>
        <w:jc w:val="both"/>
        <w:rPr>
          <w:iCs/>
          <w:lang w:val="es-CR"/>
        </w:rPr>
      </w:pPr>
      <w:r w:rsidRPr="008874B4">
        <w:rPr>
          <w:iCs/>
          <w:lang w:val="es-CR"/>
        </w:rPr>
        <w:t>combinar aprendizaje autogestionado con sesiones sincrónicas y actividades prácticas en campo, priorizando como cadena principal del piloto el cultivo de piña, salvo ajuste expreso del MAG–SFE;</w:t>
      </w:r>
    </w:p>
    <w:p w14:paraId="21449B7E" w14:textId="77777777" w:rsidR="00D8474A" w:rsidRPr="00D8474A" w:rsidRDefault="006A7954" w:rsidP="0087163E">
      <w:pPr>
        <w:pStyle w:val="Paragraphedeliste"/>
        <w:numPr>
          <w:ilvl w:val="0"/>
          <w:numId w:val="12"/>
        </w:numPr>
        <w:jc w:val="both"/>
        <w:rPr>
          <w:iCs/>
          <w:lang w:val="es-CR"/>
        </w:rPr>
      </w:pPr>
      <w:r w:rsidRPr="008874B4">
        <w:rPr>
          <w:iCs/>
          <w:lang w:val="es-CR"/>
        </w:rPr>
        <w:t>asegurar trazabilidad del aprendizaje mediante registro, evaluaciones, evidencias y emisión de constancias;</w:t>
      </w:r>
    </w:p>
    <w:p w14:paraId="31BA961A" w14:textId="77777777" w:rsidR="00D8474A" w:rsidRPr="004D6057" w:rsidRDefault="006A7954" w:rsidP="0087163E">
      <w:pPr>
        <w:pStyle w:val="Paragraphedeliste"/>
        <w:numPr>
          <w:ilvl w:val="0"/>
          <w:numId w:val="12"/>
        </w:numPr>
        <w:jc w:val="both"/>
        <w:rPr>
          <w:iCs/>
          <w:lang w:val="es-CR"/>
        </w:rPr>
      </w:pPr>
      <w:r w:rsidRPr="008874B4">
        <w:rPr>
          <w:iCs/>
          <w:lang w:val="es-CR"/>
        </w:rPr>
        <w:t>generar analítica para la gestión del programa, incluyendo tableros segmentables por territorio, cadena, sexo, tipo de productor, finalización, aprobación y otras variables acordadas; y</w:t>
      </w:r>
    </w:p>
    <w:p w14:paraId="01BFC119" w14:textId="77777777" w:rsidR="00E22054" w:rsidRPr="00E22054" w:rsidRDefault="006A7954" w:rsidP="0087163E">
      <w:pPr>
        <w:pStyle w:val="Paragraphedeliste"/>
        <w:numPr>
          <w:ilvl w:val="0"/>
          <w:numId w:val="12"/>
        </w:numPr>
        <w:jc w:val="both"/>
        <w:rPr>
          <w:iCs/>
          <w:lang w:val="es-CR"/>
        </w:rPr>
      </w:pPr>
      <w:r w:rsidRPr="008874B4">
        <w:rPr>
          <w:iCs/>
          <w:lang w:val="es-CR"/>
        </w:rPr>
        <w:t>contar con arquitectura abierta, mantenimiento sencillo e interoperabilidad futura para integrar otros módulos institucionales del Ministerio de Salud, MINAE u otras entidades.</w:t>
      </w:r>
    </w:p>
    <w:p w14:paraId="3AF8EA58" w14:textId="77777777" w:rsidR="00946EA6" w:rsidRDefault="00946EA6" w:rsidP="00E22054">
      <w:pPr>
        <w:jc w:val="both"/>
        <w:rPr>
          <w:iCs/>
        </w:rPr>
      </w:pPr>
    </w:p>
    <w:p w14:paraId="7299F3B2" w14:textId="32C7EDC2" w:rsidR="00C835A0" w:rsidRPr="00E22054" w:rsidRDefault="006A7954" w:rsidP="00E22054">
      <w:pPr>
        <w:jc w:val="both"/>
        <w:rPr>
          <w:iCs/>
        </w:rPr>
      </w:pPr>
      <w:r w:rsidRPr="00E22054">
        <w:rPr>
          <w:iCs/>
        </w:rPr>
        <w:t xml:space="preserve">En principio, se privilegiarán soluciones ampliamente adoptadas y de bajo costo recurrente, tales como Moodle LMS </w:t>
      </w:r>
      <w:proofErr w:type="spellStart"/>
      <w:r w:rsidRPr="00E22054">
        <w:rPr>
          <w:iCs/>
        </w:rPr>
        <w:t>o</w:t>
      </w:r>
      <w:proofErr w:type="spellEnd"/>
      <w:r w:rsidRPr="00E22054">
        <w:rPr>
          <w:iCs/>
        </w:rPr>
        <w:t xml:space="preserve"> Open </w:t>
      </w:r>
      <w:proofErr w:type="spellStart"/>
      <w:r w:rsidRPr="00E22054">
        <w:rPr>
          <w:iCs/>
        </w:rPr>
        <w:t>edX</w:t>
      </w:r>
      <w:proofErr w:type="spellEnd"/>
      <w:r w:rsidRPr="00E22054">
        <w:rPr>
          <w:iCs/>
        </w:rPr>
        <w:t xml:space="preserve">, sin excluir opciones SaaS como </w:t>
      </w:r>
      <w:proofErr w:type="spellStart"/>
      <w:r w:rsidRPr="00E22054">
        <w:rPr>
          <w:iCs/>
        </w:rPr>
        <w:t>Canvas</w:t>
      </w:r>
      <w:proofErr w:type="spellEnd"/>
      <w:r w:rsidRPr="00E22054">
        <w:rPr>
          <w:iCs/>
        </w:rPr>
        <w:t xml:space="preserve"> cuando la propuesta justifique claramente su sostenibilidad, facilidad de administración y condiciones de transferencia institucional.</w:t>
      </w:r>
    </w:p>
    <w:p w14:paraId="1726EEC6" w14:textId="72E0EA89" w:rsidR="00C31C39" w:rsidRDefault="00F66AFE" w:rsidP="00DE557C">
      <w:pPr>
        <w:jc w:val="both"/>
        <w:rPr>
          <w:iCs/>
        </w:rPr>
      </w:pPr>
      <w:r w:rsidRPr="00DE557C">
        <w:rPr>
          <w:iCs/>
        </w:rPr>
        <w:t>La plataforma deberá contemplar un formulario de registro y caracterización de usuarios que permita al SFE dar seguimiento a la procedencia y al perfil básico de quienes se inscriben. Como mínimo, el oferente deberá proponer variables de ubicación (comunidad o pueblo, distrito, cantón, provincia), vínculo con la actividad productiva, cadena de valor, sexo, rango etario, tipo de productor u organización y condición de conectividad. De forma opcional y sujeta a validación institucional y consentimiento informado, podrá incorporar otras variables para análisis estadístico, tales como estado civil, nivel educativo alcanzado, centro de estudios, dificultades de acceso o barreras de aprendizaje. Además, la plataforma deberá registrar avance por módulo, calificaciones, constancias emitidas, abandono, reingreso, consultas y principales dificultades reportadas por las personas usuarias.</w:t>
      </w:r>
    </w:p>
    <w:p w14:paraId="39928CBF" w14:textId="4AB23095" w:rsidR="00564B84" w:rsidRDefault="00564B84" w:rsidP="00DE557C">
      <w:pPr>
        <w:jc w:val="both"/>
        <w:rPr>
          <w:iCs/>
        </w:rPr>
      </w:pPr>
    </w:p>
    <w:p w14:paraId="4BA2E630" w14:textId="19F8C2E1" w:rsidR="00BE5437" w:rsidRDefault="00817F78" w:rsidP="00A11054">
      <w:pPr>
        <w:pStyle w:val="Titre2"/>
        <w:keepLines/>
        <w:widowControl/>
        <w:numPr>
          <w:ilvl w:val="1"/>
          <w:numId w:val="0"/>
        </w:numPr>
        <w:spacing w:after="240" w:line="276" w:lineRule="auto"/>
        <w:ind w:left="576" w:hanging="576"/>
        <w:jc w:val="both"/>
        <w:rPr>
          <w:color w:val="002060"/>
          <w:sz w:val="22"/>
          <w:szCs w:val="22"/>
          <w:lang w:val="es-CO"/>
        </w:rPr>
      </w:pPr>
      <w:bookmarkStart w:id="5" w:name="_Toc179973783"/>
      <w:r>
        <w:rPr>
          <w:color w:val="002060"/>
          <w:sz w:val="22"/>
          <w:szCs w:val="22"/>
          <w:lang w:val="es-CO"/>
        </w:rPr>
        <w:lastRenderedPageBreak/>
        <w:t>5</w:t>
      </w:r>
      <w:r w:rsidR="000468BA">
        <w:rPr>
          <w:color w:val="002060"/>
          <w:sz w:val="22"/>
          <w:szCs w:val="22"/>
          <w:lang w:val="es-CO"/>
        </w:rPr>
        <w:t>.</w:t>
      </w:r>
      <w:r w:rsidR="000468BA">
        <w:rPr>
          <w:color w:val="002060"/>
          <w:sz w:val="22"/>
          <w:szCs w:val="22"/>
          <w:lang w:val="es-CO"/>
        </w:rPr>
        <w:tab/>
      </w:r>
      <w:r w:rsidR="00BE5437" w:rsidRPr="003F107F">
        <w:rPr>
          <w:color w:val="002060"/>
          <w:sz w:val="22"/>
          <w:szCs w:val="22"/>
          <w:lang w:val="es-CO"/>
        </w:rPr>
        <w:t>Objetivos</w:t>
      </w:r>
      <w:bookmarkEnd w:id="5"/>
      <w:r>
        <w:rPr>
          <w:color w:val="002060"/>
          <w:sz w:val="22"/>
          <w:szCs w:val="22"/>
          <w:lang w:val="es-CO"/>
        </w:rPr>
        <w:t>:</w:t>
      </w:r>
    </w:p>
    <w:p w14:paraId="4365AB7C" w14:textId="1E9780D0" w:rsidR="00BE5437" w:rsidRDefault="00817F78" w:rsidP="00A11054">
      <w:pPr>
        <w:pStyle w:val="Titre2"/>
        <w:jc w:val="both"/>
        <w:rPr>
          <w:sz w:val="22"/>
          <w:szCs w:val="24"/>
          <w:lang w:val="es-CO"/>
        </w:rPr>
      </w:pPr>
      <w:bookmarkStart w:id="6" w:name="_Toc179973784"/>
      <w:r>
        <w:rPr>
          <w:sz w:val="22"/>
          <w:szCs w:val="24"/>
          <w:lang w:val="es-CO"/>
        </w:rPr>
        <w:t>5</w:t>
      </w:r>
      <w:r w:rsidR="001838A7" w:rsidRPr="0048339E">
        <w:rPr>
          <w:sz w:val="22"/>
          <w:szCs w:val="24"/>
          <w:lang w:val="es-CO"/>
        </w:rPr>
        <w:t>.1</w:t>
      </w:r>
      <w:r w:rsidR="001838A7" w:rsidRPr="0048339E">
        <w:rPr>
          <w:sz w:val="22"/>
          <w:szCs w:val="24"/>
          <w:lang w:val="es-CO"/>
        </w:rPr>
        <w:tab/>
      </w:r>
      <w:r w:rsidR="00BE5437" w:rsidRPr="0048339E">
        <w:rPr>
          <w:sz w:val="22"/>
          <w:szCs w:val="24"/>
          <w:lang w:val="es-CO"/>
        </w:rPr>
        <w:t>Objetivo General</w:t>
      </w:r>
      <w:bookmarkEnd w:id="6"/>
      <w:r w:rsidR="00F87184">
        <w:rPr>
          <w:sz w:val="22"/>
          <w:szCs w:val="24"/>
          <w:lang w:val="es-CO"/>
        </w:rPr>
        <w:t>:</w:t>
      </w:r>
    </w:p>
    <w:p w14:paraId="2E708B0A" w14:textId="77777777" w:rsidR="00F87184" w:rsidRDefault="00F87184" w:rsidP="00A11054">
      <w:pPr>
        <w:jc w:val="both"/>
      </w:pPr>
    </w:p>
    <w:p w14:paraId="2E92D40D" w14:textId="1A601436" w:rsidR="0048339E" w:rsidRPr="00686C0D" w:rsidRDefault="0048339E" w:rsidP="00686C0D">
      <w:pPr>
        <w:jc w:val="both"/>
        <w:rPr>
          <w:iCs/>
        </w:rPr>
      </w:pPr>
      <w:r w:rsidRPr="00686C0D">
        <w:rPr>
          <w:iCs/>
        </w:rPr>
        <w:t>Diseñar, desarrollar y poner en operación una plataforma asincrónica de capacitación en BPA, alineada al programa TicoBPA del MAG–SFE, con contenidos priorizados, funcionalidades básicas de seguimiento, analítica para gestión institucional y un piloto blended en la cadena de valor definida por la institucionalidad, priorizando la piña.</w:t>
      </w:r>
    </w:p>
    <w:p w14:paraId="51DDD342" w14:textId="774D7C41" w:rsidR="00BE5437" w:rsidRDefault="00817F78" w:rsidP="00A11054">
      <w:pPr>
        <w:pStyle w:val="Titre2"/>
        <w:jc w:val="both"/>
        <w:rPr>
          <w:sz w:val="22"/>
          <w:szCs w:val="24"/>
          <w:lang w:val="es-CO"/>
        </w:rPr>
      </w:pPr>
      <w:bookmarkStart w:id="7" w:name="_Toc179973785"/>
      <w:r>
        <w:rPr>
          <w:sz w:val="22"/>
          <w:szCs w:val="24"/>
          <w:lang w:val="es-CO"/>
        </w:rPr>
        <w:t>5</w:t>
      </w:r>
      <w:r w:rsidR="001838A7" w:rsidRPr="00240240">
        <w:rPr>
          <w:sz w:val="22"/>
          <w:szCs w:val="24"/>
          <w:lang w:val="es-CO"/>
        </w:rPr>
        <w:t>.2</w:t>
      </w:r>
      <w:r w:rsidR="001838A7" w:rsidRPr="00240240">
        <w:rPr>
          <w:sz w:val="22"/>
          <w:szCs w:val="24"/>
          <w:lang w:val="es-CO"/>
        </w:rPr>
        <w:tab/>
      </w:r>
      <w:r w:rsidR="00BE5437" w:rsidRPr="00240240">
        <w:rPr>
          <w:sz w:val="22"/>
          <w:szCs w:val="24"/>
          <w:lang w:val="es-CO"/>
        </w:rPr>
        <w:t>Objetivos Específicos:</w:t>
      </w:r>
      <w:bookmarkEnd w:id="7"/>
    </w:p>
    <w:p w14:paraId="45FE7154" w14:textId="77777777" w:rsidR="00F87184" w:rsidRDefault="00F87184" w:rsidP="00A11054">
      <w:pPr>
        <w:jc w:val="both"/>
      </w:pPr>
    </w:p>
    <w:p w14:paraId="4D4E8200" w14:textId="28257DEA" w:rsidR="00342361" w:rsidRPr="00592382" w:rsidRDefault="00817F78" w:rsidP="00592382">
      <w:pPr>
        <w:jc w:val="both"/>
        <w:rPr>
          <w:iCs/>
        </w:rPr>
      </w:pPr>
      <w:r>
        <w:rPr>
          <w:iCs/>
        </w:rPr>
        <w:t>5</w:t>
      </w:r>
      <w:r w:rsidR="00F87184" w:rsidRPr="00592382">
        <w:rPr>
          <w:iCs/>
        </w:rPr>
        <w:t>.2.1</w:t>
      </w:r>
      <w:r w:rsidR="00F87184" w:rsidRPr="00592382">
        <w:rPr>
          <w:iCs/>
        </w:rPr>
        <w:tab/>
        <w:t>Diseñar, configurar y poner en operación una plataforma LMS asincrónica, accesible desde dispositivos móviles y apta para contextos de baja conectividad, con gestión de usuarios, seguimiento de progreso, evaluaciones, emisión de constancias, tablero de indicadores y herramientas básicas para la administración y mantenimiento por parte del MAG–SFE.</w:t>
      </w:r>
    </w:p>
    <w:p w14:paraId="57DE15B6" w14:textId="53F3349E" w:rsidR="00F87184" w:rsidRPr="00031C6B" w:rsidRDefault="00817F78" w:rsidP="006E7CB0">
      <w:pPr>
        <w:jc w:val="both"/>
        <w:rPr>
          <w:iCs/>
        </w:rPr>
      </w:pPr>
      <w:r>
        <w:rPr>
          <w:iCs/>
        </w:rPr>
        <w:t>5</w:t>
      </w:r>
      <w:r w:rsidR="00F87184" w:rsidRPr="00031C6B">
        <w:rPr>
          <w:iCs/>
        </w:rPr>
        <w:t>.2.2</w:t>
      </w:r>
      <w:r w:rsidR="00F87184" w:rsidRPr="00031C6B">
        <w:rPr>
          <w:iCs/>
        </w:rPr>
        <w:tab/>
        <w:t>Desarrollar y publicar módulos formativos BPA priorizados por el MAG–SFE bajo un enfoque andragógico, incorporando contenidos multimedia, guías prácticas, evaluaciones y un módulo introductorio de alfabetización digital, todo ello alineado con los módulos vigentes del programa TicoBPA y con las necesidades de la</w:t>
      </w:r>
      <w:r w:rsidR="00E61A16" w:rsidRPr="00031C6B">
        <w:rPr>
          <w:iCs/>
        </w:rPr>
        <w:t>s</w:t>
      </w:r>
      <w:r w:rsidR="00F87184" w:rsidRPr="00031C6B">
        <w:rPr>
          <w:iCs/>
        </w:rPr>
        <w:t xml:space="preserve"> cadena</w:t>
      </w:r>
      <w:r w:rsidR="00E61A16" w:rsidRPr="00031C6B">
        <w:rPr>
          <w:iCs/>
        </w:rPr>
        <w:t>s</w:t>
      </w:r>
      <w:r w:rsidR="00F87184" w:rsidRPr="00031C6B">
        <w:rPr>
          <w:iCs/>
        </w:rPr>
        <w:t xml:space="preserve"> priorizada</w:t>
      </w:r>
      <w:r w:rsidR="00E61A16" w:rsidRPr="00031C6B">
        <w:rPr>
          <w:iCs/>
        </w:rPr>
        <w:t>s</w:t>
      </w:r>
      <w:r w:rsidR="00F87184" w:rsidRPr="00031C6B">
        <w:rPr>
          <w:iCs/>
        </w:rPr>
        <w:t>.</w:t>
      </w:r>
    </w:p>
    <w:p w14:paraId="7DF3CD8A" w14:textId="7FEDD290" w:rsidR="00AA60EF" w:rsidRPr="00E4585A" w:rsidRDefault="00817F78" w:rsidP="00E4585A">
      <w:pPr>
        <w:jc w:val="both"/>
        <w:rPr>
          <w:iCs/>
        </w:rPr>
      </w:pPr>
      <w:r>
        <w:rPr>
          <w:iCs/>
        </w:rPr>
        <w:t>5</w:t>
      </w:r>
      <w:r w:rsidR="00F87184" w:rsidRPr="00E4585A">
        <w:rPr>
          <w:iCs/>
        </w:rPr>
        <w:t>.2.3</w:t>
      </w:r>
      <w:r w:rsidR="00F87184" w:rsidRPr="00E4585A">
        <w:rPr>
          <w:iCs/>
        </w:rPr>
        <w:tab/>
        <w:t>Implementar y evaluar un piloto blended en la cadena de valor de piña —o en otra cadena que MAG–SFE defina expresamente—, con acompañamiento técnico, validación de uso, medición de resultados, transferencia institucional y plan de sostenibilidad y escalamiento.</w:t>
      </w:r>
    </w:p>
    <w:p w14:paraId="4DAC6C05" w14:textId="261A4205" w:rsidR="00BE5437" w:rsidRPr="00455351" w:rsidRDefault="00817F78" w:rsidP="00A11054">
      <w:pPr>
        <w:pStyle w:val="Titre2"/>
        <w:keepLines/>
        <w:widowControl/>
        <w:numPr>
          <w:ilvl w:val="1"/>
          <w:numId w:val="0"/>
        </w:numPr>
        <w:spacing w:after="240" w:line="276" w:lineRule="auto"/>
        <w:ind w:left="576" w:hanging="576"/>
        <w:jc w:val="both"/>
        <w:rPr>
          <w:color w:val="002060"/>
          <w:sz w:val="22"/>
          <w:szCs w:val="22"/>
          <w:lang w:val="es-CO"/>
        </w:rPr>
      </w:pPr>
      <w:bookmarkStart w:id="8" w:name="_Toc179973787"/>
      <w:r>
        <w:rPr>
          <w:color w:val="002060"/>
          <w:sz w:val="22"/>
          <w:szCs w:val="22"/>
          <w:lang w:val="es-CO"/>
        </w:rPr>
        <w:t>5</w:t>
      </w:r>
      <w:r w:rsidR="00D67DBC" w:rsidRPr="00455351">
        <w:rPr>
          <w:color w:val="002060"/>
          <w:sz w:val="22"/>
          <w:szCs w:val="22"/>
          <w:lang w:val="es-CO"/>
        </w:rPr>
        <w:t>.3</w:t>
      </w:r>
      <w:r w:rsidR="00D67DBC" w:rsidRPr="00455351">
        <w:rPr>
          <w:color w:val="002060"/>
          <w:sz w:val="22"/>
          <w:szCs w:val="22"/>
          <w:lang w:val="es-CO"/>
        </w:rPr>
        <w:tab/>
      </w:r>
      <w:r w:rsidR="00BE5437" w:rsidRPr="00455351">
        <w:rPr>
          <w:color w:val="002060"/>
          <w:sz w:val="22"/>
          <w:szCs w:val="22"/>
          <w:lang w:val="es-CO"/>
        </w:rPr>
        <w:t>Actividades principales</w:t>
      </w:r>
      <w:bookmarkEnd w:id="8"/>
    </w:p>
    <w:p w14:paraId="6AB8CA30" w14:textId="5DBA8B9B" w:rsidR="00BE5437" w:rsidRPr="00F87F46" w:rsidRDefault="00BE5437" w:rsidP="00F87F46">
      <w:pPr>
        <w:jc w:val="both"/>
        <w:rPr>
          <w:iCs/>
        </w:rPr>
      </w:pPr>
      <w:r w:rsidRPr="00F87F46">
        <w:rPr>
          <w:iCs/>
        </w:rPr>
        <w:t>Para alcanzar los objetivos mencionados anteriormente, el contratista deberá trabajar de manera coordinada con el Ministerio de Agricultura y Ganadería de Costa Rica (MAG), el Servicio Fitosanitario del Estado (SFE)</w:t>
      </w:r>
      <w:r w:rsidR="00566CCB" w:rsidRPr="00F87F46">
        <w:rPr>
          <w:iCs/>
        </w:rPr>
        <w:t xml:space="preserve"> y Expertise France</w:t>
      </w:r>
      <w:r w:rsidRPr="00F87F46">
        <w:rPr>
          <w:iCs/>
        </w:rPr>
        <w:t xml:space="preserve"> y cuando corresponda, con el Ministeri</w:t>
      </w:r>
      <w:r w:rsidR="00733A6E">
        <w:rPr>
          <w:iCs/>
        </w:rPr>
        <w:t>o de Ambiente y Energía (MINAE) y</w:t>
      </w:r>
      <w:r w:rsidRPr="00F87F46">
        <w:rPr>
          <w:iCs/>
        </w:rPr>
        <w:t xml:space="preserve"> el Ministerio de Salud</w:t>
      </w:r>
      <w:r w:rsidR="00923AD0" w:rsidRPr="00F87F46">
        <w:rPr>
          <w:iCs/>
        </w:rPr>
        <w:t>.</w:t>
      </w:r>
    </w:p>
    <w:p w14:paraId="4E31937D" w14:textId="713BE190" w:rsidR="00BE5437" w:rsidRPr="00F87F46" w:rsidRDefault="00BE5437" w:rsidP="00F87F46">
      <w:pPr>
        <w:jc w:val="both"/>
        <w:rPr>
          <w:iCs/>
        </w:rPr>
      </w:pPr>
      <w:r w:rsidRPr="00F87F46">
        <w:rPr>
          <w:iCs/>
        </w:rPr>
        <w:t>Se espera del oferente una propuesta argumentada y detallada que describa la metodología, los pasos y los medios necesarios para alcanzar los resultados. Las actividades y entregables deberán especificar alcance, subactividades, criterios de aceptación, instancias de validación, responsabilidades, supuestos y medidas de aseguramiento de calidad, seguridad de la información y sostenibilidad operativa.</w:t>
      </w:r>
    </w:p>
    <w:p w14:paraId="5EF40C82" w14:textId="77777777" w:rsidR="00BE5437" w:rsidRPr="00F87184" w:rsidRDefault="00BE5437" w:rsidP="00A11054">
      <w:pPr>
        <w:spacing w:line="252" w:lineRule="auto"/>
        <w:jc w:val="both"/>
        <w:rPr>
          <w:b/>
          <w:bCs/>
          <w:lang w:val="es-ES"/>
        </w:rPr>
      </w:pPr>
      <w:r w:rsidRPr="00F87184">
        <w:rPr>
          <w:b/>
          <w:bCs/>
        </w:rPr>
        <w:t>Actividad 1: Fase de arranque de la consultoría, recolección y análisis de la información preliminar.</w:t>
      </w:r>
    </w:p>
    <w:p w14:paraId="5390B8DB" w14:textId="77777777" w:rsidR="00BE5437" w:rsidRPr="00F87184" w:rsidRDefault="00BE5437" w:rsidP="00A11054">
      <w:pPr>
        <w:spacing w:line="252" w:lineRule="auto"/>
        <w:jc w:val="both"/>
        <w:rPr>
          <w:i/>
          <w:iCs/>
          <w:lang w:val="es-ES"/>
        </w:rPr>
      </w:pPr>
      <w:r w:rsidRPr="00F87184">
        <w:rPr>
          <w:i/>
          <w:iCs/>
        </w:rPr>
        <w:t>Para el desarrollo de esta actividad el contratista debe, como mínimo, desarrollar las siguientes subactividades:</w:t>
      </w:r>
    </w:p>
    <w:p w14:paraId="72109D65" w14:textId="77777777" w:rsidR="00BE5437" w:rsidRPr="00A3105C" w:rsidRDefault="00BE5437" w:rsidP="0087163E">
      <w:pPr>
        <w:pStyle w:val="Paragraphedeliste"/>
        <w:numPr>
          <w:ilvl w:val="0"/>
          <w:numId w:val="3"/>
        </w:numPr>
        <w:spacing w:after="160" w:line="252" w:lineRule="auto"/>
        <w:jc w:val="both"/>
        <w:rPr>
          <w:lang w:val="es-ES"/>
        </w:rPr>
      </w:pPr>
      <w:r w:rsidRPr="00F87184">
        <w:rPr>
          <w:lang w:val="es-CR"/>
        </w:rPr>
        <w:t>Reunión de inicio (</w:t>
      </w:r>
      <w:proofErr w:type="spellStart"/>
      <w:r w:rsidRPr="00F87184">
        <w:rPr>
          <w:lang w:val="es-CR"/>
        </w:rPr>
        <w:t>kick</w:t>
      </w:r>
      <w:proofErr w:type="spellEnd"/>
      <w:r w:rsidRPr="00F87184">
        <w:rPr>
          <w:lang w:val="es-CR"/>
        </w:rPr>
        <w:t>-off) con MAG–SFE y Expertise France para validar alcance, gobernanza, cronograma y matriz de entregables.</w:t>
      </w:r>
    </w:p>
    <w:p w14:paraId="6CDEEB42" w14:textId="77777777" w:rsidR="00B35718" w:rsidRDefault="00BE5437" w:rsidP="0087163E">
      <w:pPr>
        <w:pStyle w:val="Paragraphedeliste"/>
        <w:numPr>
          <w:ilvl w:val="0"/>
          <w:numId w:val="3"/>
        </w:numPr>
        <w:spacing w:after="160" w:line="252" w:lineRule="auto"/>
        <w:jc w:val="both"/>
        <w:rPr>
          <w:lang w:val="es-ES"/>
        </w:rPr>
      </w:pPr>
      <w:r w:rsidRPr="00F87184">
        <w:rPr>
          <w:lang w:val="es-CR"/>
        </w:rPr>
        <w:t>Revisión de la metodología propuesta y ajustes necesarios (contenidos, secuencia de fases, riesgos, aseguramiento de calidad y seguridad de la información).</w:t>
      </w:r>
    </w:p>
    <w:p w14:paraId="16598E19" w14:textId="6CFE2504" w:rsidR="00BE5437" w:rsidRPr="004C209E" w:rsidRDefault="00BE5437" w:rsidP="0087163E">
      <w:pPr>
        <w:pStyle w:val="Paragraphedeliste"/>
        <w:numPr>
          <w:ilvl w:val="0"/>
          <w:numId w:val="3"/>
        </w:numPr>
        <w:spacing w:after="160" w:line="252" w:lineRule="auto"/>
        <w:jc w:val="both"/>
        <w:rPr>
          <w:lang w:val="es-ES"/>
        </w:rPr>
      </w:pPr>
      <w:r w:rsidRPr="004C209E">
        <w:rPr>
          <w:iCs/>
          <w:lang w:val="es-CR"/>
        </w:rPr>
        <w:lastRenderedPageBreak/>
        <w:t>Identificación, recopilación y análisis de la documentación preliminar (TICO-BPA, materiales existentes, lineamientos técnicos, requerimientos institucionales y antecedentes de agropaisajes/Planeta Vivo), así como diagnóstico funcional breve de brechas institucionales, tecnológicas, pedagógicas y de adopción de usuarios.</w:t>
      </w:r>
    </w:p>
    <w:p w14:paraId="04AD12D4" w14:textId="77777777" w:rsidR="00BE5437" w:rsidRPr="00C73576" w:rsidRDefault="00BE5437" w:rsidP="00A11054">
      <w:pPr>
        <w:spacing w:line="252" w:lineRule="auto"/>
        <w:jc w:val="both"/>
        <w:rPr>
          <w:lang w:val="es-ES"/>
        </w:rPr>
      </w:pPr>
      <w:bookmarkStart w:id="9" w:name="_Hlk222838855"/>
      <w:r w:rsidRPr="00D072A4">
        <w:rPr>
          <w:i/>
          <w:iCs/>
          <w:u w:val="single"/>
          <w:lang w:val="es-ES"/>
        </w:rPr>
        <w:t>Entregables de esta</w:t>
      </w:r>
      <w:r>
        <w:rPr>
          <w:i/>
          <w:iCs/>
          <w:u w:val="single"/>
          <w:lang w:val="es-ES"/>
        </w:rPr>
        <w:t xml:space="preserve"> actividad</w:t>
      </w:r>
      <w:r w:rsidRPr="00C73576">
        <w:rPr>
          <w:lang w:val="es-ES"/>
        </w:rPr>
        <w:t>:</w:t>
      </w:r>
    </w:p>
    <w:bookmarkEnd w:id="9"/>
    <w:p w14:paraId="4692E1B5" w14:textId="77777777" w:rsidR="00D7525A" w:rsidRDefault="00BE5437" w:rsidP="0087163E">
      <w:pPr>
        <w:pStyle w:val="Paragraphedeliste"/>
        <w:numPr>
          <w:ilvl w:val="0"/>
          <w:numId w:val="13"/>
        </w:numPr>
        <w:jc w:val="both"/>
        <w:rPr>
          <w:iCs/>
          <w:lang w:val="es-CR"/>
        </w:rPr>
      </w:pPr>
      <w:r w:rsidRPr="00B325DB">
        <w:rPr>
          <w:b/>
          <w:bCs/>
          <w:iCs/>
          <w:lang w:val="es-CR"/>
        </w:rPr>
        <w:t>Entregable n.°1</w:t>
      </w:r>
      <w:r w:rsidRPr="00885B55">
        <w:rPr>
          <w:iCs/>
          <w:lang w:val="es-CR"/>
        </w:rPr>
        <w:t>: Informe de arranque (</w:t>
      </w:r>
      <w:proofErr w:type="spellStart"/>
      <w:r w:rsidRPr="00733A6E">
        <w:rPr>
          <w:i/>
          <w:iCs/>
          <w:lang w:val="es-CR"/>
        </w:rPr>
        <w:t>inception</w:t>
      </w:r>
      <w:proofErr w:type="spellEnd"/>
      <w:r w:rsidRPr="00733A6E">
        <w:rPr>
          <w:i/>
          <w:iCs/>
          <w:lang w:val="es-CR"/>
        </w:rPr>
        <w:t xml:space="preserve"> </w:t>
      </w:r>
      <w:proofErr w:type="spellStart"/>
      <w:r w:rsidRPr="00733A6E">
        <w:rPr>
          <w:i/>
          <w:iCs/>
          <w:lang w:val="es-CR"/>
        </w:rPr>
        <w:t>report</w:t>
      </w:r>
      <w:proofErr w:type="spellEnd"/>
      <w:r w:rsidRPr="00885B55">
        <w:rPr>
          <w:iCs/>
          <w:lang w:val="es-CR"/>
        </w:rPr>
        <w:t>) con metodología ajustada, matriz de requerimientos funcionales y no funcionales, diagnóstico breve de brechas, plan de trabajo y cronograma mes a mes, y propuesta de estructura modular de contenidos.</w:t>
      </w:r>
    </w:p>
    <w:p w14:paraId="75D3FB77" w14:textId="7B4CA640" w:rsidR="00BE5437" w:rsidRDefault="00BE5437" w:rsidP="0087163E">
      <w:pPr>
        <w:pStyle w:val="Paragraphedeliste"/>
        <w:numPr>
          <w:ilvl w:val="0"/>
          <w:numId w:val="13"/>
        </w:numPr>
        <w:jc w:val="both"/>
        <w:rPr>
          <w:iCs/>
          <w:lang w:val="es-CR"/>
        </w:rPr>
      </w:pPr>
      <w:r w:rsidRPr="00B325DB">
        <w:rPr>
          <w:b/>
          <w:bCs/>
          <w:iCs/>
          <w:lang w:val="es-CR"/>
        </w:rPr>
        <w:t>Entregable n.°2:</w:t>
      </w:r>
      <w:r w:rsidRPr="00885B55">
        <w:rPr>
          <w:iCs/>
          <w:lang w:val="es-CR"/>
        </w:rPr>
        <w:t xml:space="preserve"> Plan de gestión del proyecto, incluyendo matriz de riesgos, plan de aseguramiento de calidad, plan de comunicaciones, plan de monitoreo de avance, lineamientos de gobernanza de datos y esquema preliminar de analítica para el seguimiento institucional.</w:t>
      </w:r>
    </w:p>
    <w:p w14:paraId="792AE844" w14:textId="77777777" w:rsidR="00D7525A" w:rsidRPr="00D7525A" w:rsidRDefault="00D7525A" w:rsidP="00D7525A">
      <w:pPr>
        <w:jc w:val="both"/>
        <w:rPr>
          <w:iCs/>
        </w:rPr>
      </w:pPr>
    </w:p>
    <w:p w14:paraId="606306AE" w14:textId="77777777" w:rsidR="00BE5437" w:rsidRPr="00F87184" w:rsidRDefault="00BE5437" w:rsidP="00A11054">
      <w:pPr>
        <w:jc w:val="both"/>
        <w:rPr>
          <w:i/>
          <w:iCs/>
          <w:lang w:val="es-ES"/>
        </w:rPr>
      </w:pPr>
      <w:r w:rsidRPr="00F87184">
        <w:rPr>
          <w:i/>
          <w:iCs/>
        </w:rPr>
        <w:t>Plazo máximo sugerido de ejecución de la Actividad 1 y remisión de entregables: Mes 1 a partir de la fecha de inicio de la consultoría (T0).</w:t>
      </w:r>
    </w:p>
    <w:p w14:paraId="52042431" w14:textId="77777777" w:rsidR="00BE5437" w:rsidRPr="00154C5A" w:rsidRDefault="00BE5437" w:rsidP="00A11054">
      <w:pPr>
        <w:spacing w:line="252" w:lineRule="auto"/>
        <w:jc w:val="both"/>
        <w:rPr>
          <w:b/>
          <w:bCs/>
          <w:u w:val="single"/>
          <w:lang w:val="es-ES"/>
        </w:rPr>
      </w:pPr>
      <w:r w:rsidRPr="00154C5A">
        <w:rPr>
          <w:b/>
          <w:bCs/>
        </w:rPr>
        <w:t>Actividad 2: Fase de curaduría, actualización técnica y mediación pedagógica de los módulos TICO-BPA de referencia.</w:t>
      </w:r>
    </w:p>
    <w:p w14:paraId="03ED439F" w14:textId="77777777" w:rsidR="00BE5437" w:rsidRPr="00154C5A" w:rsidRDefault="00BE5437" w:rsidP="00A11054">
      <w:pPr>
        <w:spacing w:line="252" w:lineRule="auto"/>
        <w:jc w:val="both"/>
        <w:rPr>
          <w:i/>
          <w:iCs/>
          <w:lang w:val="es-ES"/>
        </w:rPr>
      </w:pPr>
      <w:r w:rsidRPr="00154C5A">
        <w:rPr>
          <w:i/>
          <w:iCs/>
        </w:rPr>
        <w:t>Para el desarrollo de esta actividad el contratista debe, como mínimo, desarrollar las siguientes subactividades:</w:t>
      </w:r>
    </w:p>
    <w:p w14:paraId="1407A877" w14:textId="77777777" w:rsidR="009A7335" w:rsidRPr="009A7335" w:rsidRDefault="00385354" w:rsidP="0087163E">
      <w:pPr>
        <w:pStyle w:val="Paragraphedeliste"/>
        <w:numPr>
          <w:ilvl w:val="0"/>
          <w:numId w:val="4"/>
        </w:numPr>
        <w:spacing w:after="160" w:line="252" w:lineRule="auto"/>
        <w:jc w:val="both"/>
        <w:rPr>
          <w:lang w:val="es-ES"/>
        </w:rPr>
      </w:pPr>
      <w:r w:rsidRPr="00F87184">
        <w:rPr>
          <w:lang w:val="es-CR"/>
        </w:rPr>
        <w:t xml:space="preserve">Levantamiento y sistematización de contenidos existentes (materiales </w:t>
      </w:r>
      <w:r w:rsidR="00AA6855">
        <w:rPr>
          <w:lang w:val="es-CR"/>
        </w:rPr>
        <w:t xml:space="preserve">Certificación </w:t>
      </w:r>
      <w:r w:rsidRPr="00F87184">
        <w:rPr>
          <w:lang w:val="es-CR"/>
        </w:rPr>
        <w:t xml:space="preserve">TICO-BPA y </w:t>
      </w:r>
      <w:r w:rsidR="00D12286">
        <w:rPr>
          <w:lang w:val="es-CR"/>
        </w:rPr>
        <w:t xml:space="preserve">Capacitación en </w:t>
      </w:r>
      <w:r w:rsidRPr="00F87184">
        <w:rPr>
          <w:lang w:val="es-CR"/>
        </w:rPr>
        <w:t>BPA), identificación de brechas y priorización de módulos y competencias a desarrollar (en coordinación con MAG–SFE)</w:t>
      </w:r>
      <w:r w:rsidR="00B4221D">
        <w:rPr>
          <w:lang w:val="es-CR"/>
        </w:rPr>
        <w:t xml:space="preserve"> y Expertise France</w:t>
      </w:r>
      <w:r w:rsidRPr="00F87184">
        <w:rPr>
          <w:lang w:val="es-CR"/>
        </w:rPr>
        <w:t>.</w:t>
      </w:r>
    </w:p>
    <w:p w14:paraId="1F792398" w14:textId="03F61EC9" w:rsidR="00BE5437" w:rsidRPr="003E6582" w:rsidRDefault="00385354" w:rsidP="0087163E">
      <w:pPr>
        <w:pStyle w:val="Paragraphedeliste"/>
        <w:numPr>
          <w:ilvl w:val="0"/>
          <w:numId w:val="4"/>
        </w:numPr>
        <w:spacing w:after="160" w:line="252" w:lineRule="auto"/>
        <w:jc w:val="both"/>
        <w:rPr>
          <w:lang w:val="es-ES"/>
        </w:rPr>
      </w:pPr>
      <w:r w:rsidRPr="009A7335">
        <w:rPr>
          <w:iCs/>
          <w:lang w:val="es-CR"/>
        </w:rPr>
        <w:t>Diseño instruccional: estructura estándar de módulo, guiones y storyboards, lineamientos de evaluación y aprobación, propuesta de constancias o certificados vinculados al avance y resultados, y diseño del módulo introductorio de alfabetización digital.</w:t>
      </w:r>
    </w:p>
    <w:p w14:paraId="05574255" w14:textId="77777777" w:rsidR="00154C5A" w:rsidRPr="00C73576" w:rsidRDefault="00154C5A" w:rsidP="00A11054">
      <w:pPr>
        <w:spacing w:line="252" w:lineRule="auto"/>
        <w:jc w:val="both"/>
        <w:rPr>
          <w:lang w:val="es-ES"/>
        </w:rPr>
      </w:pPr>
      <w:r w:rsidRPr="00D072A4">
        <w:rPr>
          <w:i/>
          <w:iCs/>
          <w:u w:val="single"/>
          <w:lang w:val="es-ES"/>
        </w:rPr>
        <w:t>Entregables de esta</w:t>
      </w:r>
      <w:r>
        <w:rPr>
          <w:i/>
          <w:iCs/>
          <w:u w:val="single"/>
          <w:lang w:val="es-ES"/>
        </w:rPr>
        <w:t xml:space="preserve"> actividad</w:t>
      </w:r>
      <w:r w:rsidRPr="00C73576">
        <w:rPr>
          <w:lang w:val="es-ES"/>
        </w:rPr>
        <w:t>:</w:t>
      </w:r>
    </w:p>
    <w:p w14:paraId="6E0A4636" w14:textId="77777777" w:rsidR="000C5DCF" w:rsidRDefault="00385354" w:rsidP="0087163E">
      <w:pPr>
        <w:pStyle w:val="Paragraphedeliste"/>
        <w:numPr>
          <w:ilvl w:val="0"/>
          <w:numId w:val="14"/>
        </w:numPr>
        <w:jc w:val="both"/>
        <w:rPr>
          <w:iCs/>
          <w:lang w:val="es-CR"/>
        </w:rPr>
      </w:pPr>
      <w:r w:rsidRPr="00B325DB">
        <w:rPr>
          <w:b/>
          <w:bCs/>
          <w:iCs/>
          <w:lang w:val="es-CR"/>
        </w:rPr>
        <w:t>Entregable n.°3:</w:t>
      </w:r>
      <w:r w:rsidRPr="00557F01">
        <w:rPr>
          <w:iCs/>
          <w:lang w:val="es-CR"/>
        </w:rPr>
        <w:t xml:space="preserve"> Malla curricular y matriz de módulos (objetivos de aprendizaje, contenidos, actividades y evaluaciones), más guía de estilo pedagógico y de comunicación. Cada módulo deberá contemplar, como mínimo, video introductorio, </w:t>
      </w:r>
      <w:r w:rsidR="007F1653" w:rsidRPr="00557F01">
        <w:rPr>
          <w:iCs/>
          <w:lang w:val="es-CR"/>
        </w:rPr>
        <w:t>micro lecciones</w:t>
      </w:r>
      <w:r w:rsidRPr="00557F01">
        <w:rPr>
          <w:iCs/>
          <w:lang w:val="es-CR"/>
        </w:rPr>
        <w:t>, ficha o lectura técnica, caso práctico, recurso descargable, evaluación formativa y evaluación sumativa.</w:t>
      </w:r>
    </w:p>
    <w:p w14:paraId="15D8CF5D" w14:textId="21D7C76C" w:rsidR="00BE5437" w:rsidRDefault="00385354" w:rsidP="0087163E">
      <w:pPr>
        <w:pStyle w:val="Paragraphedeliste"/>
        <w:numPr>
          <w:ilvl w:val="0"/>
          <w:numId w:val="14"/>
        </w:numPr>
        <w:jc w:val="both"/>
        <w:rPr>
          <w:iCs/>
          <w:lang w:val="es-CR"/>
        </w:rPr>
      </w:pPr>
      <w:r w:rsidRPr="00B325DB">
        <w:rPr>
          <w:b/>
          <w:bCs/>
          <w:iCs/>
          <w:lang w:val="es-CR"/>
        </w:rPr>
        <w:t>Entregable n.°4:</w:t>
      </w:r>
      <w:r w:rsidRPr="00557F01">
        <w:rPr>
          <w:iCs/>
          <w:lang w:val="es-CR"/>
        </w:rPr>
        <w:t xml:space="preserve"> Guiones y storyboards validados (incluye prototipo de 1–2 módulos), banco preliminar de evaluaciones, criterios mínimos de aprobación y plan de producción multimedia y carga en plataforma.</w:t>
      </w:r>
    </w:p>
    <w:p w14:paraId="5B47AE59" w14:textId="77777777" w:rsidR="000C5DCF" w:rsidRPr="000C5DCF" w:rsidRDefault="000C5DCF" w:rsidP="000C5DCF">
      <w:pPr>
        <w:jc w:val="both"/>
        <w:rPr>
          <w:iCs/>
        </w:rPr>
      </w:pPr>
    </w:p>
    <w:p w14:paraId="3997D12B" w14:textId="77777777" w:rsidR="00A03AB5" w:rsidRPr="00154C5A" w:rsidRDefault="00BE5437" w:rsidP="00A11054">
      <w:pPr>
        <w:spacing w:line="252" w:lineRule="auto"/>
        <w:jc w:val="both"/>
        <w:rPr>
          <w:i/>
          <w:iCs/>
          <w:u w:val="single"/>
          <w:lang w:val="es-ES"/>
        </w:rPr>
      </w:pPr>
      <w:r w:rsidRPr="00154C5A">
        <w:rPr>
          <w:i/>
          <w:iCs/>
        </w:rPr>
        <w:t>Duración y plazo máximos sugeridos de ejecución de la Actividad 2 y remisión de entregables: Meses 1–2 a partir de T0.</w:t>
      </w:r>
    </w:p>
    <w:p w14:paraId="104022CF" w14:textId="77777777" w:rsidR="00BE5437" w:rsidRPr="00154C5A" w:rsidRDefault="00BE5437" w:rsidP="00A11054">
      <w:pPr>
        <w:spacing w:line="252" w:lineRule="auto"/>
        <w:jc w:val="both"/>
        <w:rPr>
          <w:b/>
          <w:bCs/>
          <w:u w:val="single"/>
          <w:lang w:val="es-ES"/>
        </w:rPr>
      </w:pPr>
      <w:r w:rsidRPr="00154C5A">
        <w:rPr>
          <w:b/>
          <w:bCs/>
        </w:rPr>
        <w:t>Actividad 3: Fase de desarrollo, configuración y pruebas de la plataforma asincrónica (</w:t>
      </w:r>
      <w:proofErr w:type="spellStart"/>
      <w:r w:rsidRPr="00154C5A">
        <w:rPr>
          <w:b/>
          <w:bCs/>
        </w:rPr>
        <w:t>blended</w:t>
      </w:r>
      <w:proofErr w:type="spellEnd"/>
      <w:r w:rsidRPr="00154C5A">
        <w:rPr>
          <w:b/>
          <w:bCs/>
        </w:rPr>
        <w:t>) (LMS).</w:t>
      </w:r>
    </w:p>
    <w:p w14:paraId="07841DEB" w14:textId="77777777" w:rsidR="00BE5437" w:rsidRPr="00154C5A" w:rsidRDefault="00BE5437" w:rsidP="00A11054">
      <w:pPr>
        <w:spacing w:line="252" w:lineRule="auto"/>
        <w:jc w:val="both"/>
        <w:rPr>
          <w:i/>
          <w:iCs/>
          <w:lang w:val="es-ES"/>
        </w:rPr>
      </w:pPr>
      <w:r w:rsidRPr="00154C5A">
        <w:rPr>
          <w:i/>
          <w:iCs/>
        </w:rPr>
        <w:t>Para el desarrollo de esta actividad el contratista debe, como mínimo, desarrollar las siguientes subactividades:</w:t>
      </w:r>
    </w:p>
    <w:p w14:paraId="21FF79B4" w14:textId="77777777" w:rsidR="00CF7099" w:rsidRDefault="00385354" w:rsidP="0087163E">
      <w:pPr>
        <w:pStyle w:val="Paragraphedeliste"/>
        <w:numPr>
          <w:ilvl w:val="0"/>
          <w:numId w:val="15"/>
        </w:numPr>
        <w:jc w:val="both"/>
        <w:rPr>
          <w:iCs/>
          <w:lang w:val="es-CR"/>
        </w:rPr>
      </w:pPr>
      <w:r w:rsidRPr="00CF7099">
        <w:rPr>
          <w:iCs/>
          <w:lang w:val="es-CR"/>
        </w:rPr>
        <w:lastRenderedPageBreak/>
        <w:t>Definición de arquitectura tecnológica y selección o configuración del LMS (hosting, seguridad, roles, analítica, accesibilidad, diseño responsivo, soporte a baja conectividad y facilidad de mantenimiento), en coordinación con MAG–SFE y Expertise France. La solución propuesta deberá justificar su sostenibilidad, apertura tecnológica y posibilidades de integración futura.</w:t>
      </w:r>
    </w:p>
    <w:p w14:paraId="2BA5FB4F" w14:textId="3314048E" w:rsidR="001D61D8" w:rsidRDefault="00385354" w:rsidP="0087163E">
      <w:pPr>
        <w:pStyle w:val="Paragraphedeliste"/>
        <w:numPr>
          <w:ilvl w:val="0"/>
          <w:numId w:val="15"/>
        </w:numPr>
        <w:jc w:val="both"/>
        <w:rPr>
          <w:iCs/>
          <w:lang w:val="es-CR"/>
        </w:rPr>
      </w:pPr>
      <w:r w:rsidRPr="00CF7099">
        <w:rPr>
          <w:iCs/>
          <w:lang w:val="es-CR"/>
        </w:rPr>
        <w:t>Desarrollo de funcionalidades: gestión de usuarios, seguimiento de avance, evaluaciones, emisión de constancias o certificados, repositorio de recursos, mesa básica de ayuda y tablero de indicadores. La plataforma deberá permitir la captura y segmentación de variables de registro y desempeño, incluyendo al menos ubicación territorial, cadena de valor, tipo de persona usuaria, finalización, aprobación y dificultades reportadas, conforme a los parámetros y permisos que defina el MAG–SFE. También deberá incluir pruebas funcionales (QA) y documentación técnica.</w:t>
      </w:r>
    </w:p>
    <w:p w14:paraId="49B1A294" w14:textId="77777777" w:rsidR="00B325DB" w:rsidRPr="00B325DB" w:rsidRDefault="00B325DB" w:rsidP="00B325DB">
      <w:pPr>
        <w:jc w:val="both"/>
        <w:rPr>
          <w:iCs/>
        </w:rPr>
      </w:pPr>
    </w:p>
    <w:p w14:paraId="2D0C3A28" w14:textId="77777777" w:rsidR="00154C5A" w:rsidRPr="00C73576" w:rsidRDefault="00154C5A" w:rsidP="00A11054">
      <w:pPr>
        <w:spacing w:line="252" w:lineRule="auto"/>
        <w:jc w:val="both"/>
        <w:rPr>
          <w:lang w:val="es-ES"/>
        </w:rPr>
      </w:pPr>
      <w:r w:rsidRPr="00D072A4">
        <w:rPr>
          <w:i/>
          <w:iCs/>
          <w:u w:val="single"/>
          <w:lang w:val="es-ES"/>
        </w:rPr>
        <w:t>Entregables de esta</w:t>
      </w:r>
      <w:r>
        <w:rPr>
          <w:i/>
          <w:iCs/>
          <w:u w:val="single"/>
          <w:lang w:val="es-ES"/>
        </w:rPr>
        <w:t xml:space="preserve"> actividad</w:t>
      </w:r>
      <w:r w:rsidRPr="00C73576">
        <w:rPr>
          <w:lang w:val="es-ES"/>
        </w:rPr>
        <w:t>:</w:t>
      </w:r>
    </w:p>
    <w:p w14:paraId="5593F240" w14:textId="77777777" w:rsidR="00B325DB" w:rsidRDefault="001D61D8" w:rsidP="0087163E">
      <w:pPr>
        <w:pStyle w:val="Paragraphedeliste"/>
        <w:numPr>
          <w:ilvl w:val="0"/>
          <w:numId w:val="16"/>
        </w:numPr>
        <w:jc w:val="both"/>
        <w:rPr>
          <w:iCs/>
          <w:lang w:val="es-CR"/>
        </w:rPr>
      </w:pPr>
      <w:r w:rsidRPr="00B325DB">
        <w:rPr>
          <w:b/>
          <w:bCs/>
          <w:iCs/>
          <w:lang w:val="es-CR"/>
        </w:rPr>
        <w:t>Entregable n.°5:</w:t>
      </w:r>
      <w:r w:rsidRPr="00B325DB">
        <w:rPr>
          <w:iCs/>
          <w:lang w:val="es-CR"/>
        </w:rPr>
        <w:t xml:space="preserve"> Prototipo funcional (versión beta) de la plataforma, con configuración de roles y flujos de usuario, formulario de registro, tablero preliminar de indicadores y manual básico de administración.</w:t>
      </w:r>
    </w:p>
    <w:p w14:paraId="683B5282" w14:textId="6A54E2F6" w:rsidR="00BE5437" w:rsidRPr="00B325DB" w:rsidRDefault="001D61D8" w:rsidP="0087163E">
      <w:pPr>
        <w:pStyle w:val="Paragraphedeliste"/>
        <w:numPr>
          <w:ilvl w:val="0"/>
          <w:numId w:val="16"/>
        </w:numPr>
        <w:jc w:val="both"/>
        <w:rPr>
          <w:iCs/>
          <w:lang w:val="es-CR"/>
        </w:rPr>
      </w:pPr>
      <w:r w:rsidRPr="00B325DB">
        <w:rPr>
          <w:b/>
          <w:bCs/>
          <w:iCs/>
          <w:lang w:val="es-CR"/>
        </w:rPr>
        <w:t>Entregable n.°6:</w:t>
      </w:r>
      <w:r w:rsidRPr="00B325DB">
        <w:rPr>
          <w:iCs/>
          <w:lang w:val="es-CR"/>
        </w:rPr>
        <w:t xml:space="preserve"> Plataforma configurada e integrada, lista para carga masiva de contenidos (versión beta+), con plan de seguridad y privacidad de datos, diccionario de variables, registro de pruebas (QA) y lineamientos de mantenimiento institucional.</w:t>
      </w:r>
    </w:p>
    <w:p w14:paraId="01553659" w14:textId="77777777" w:rsidR="00B325DB" w:rsidRPr="00B325DB" w:rsidRDefault="00B325DB" w:rsidP="00B325DB">
      <w:pPr>
        <w:spacing w:line="252" w:lineRule="auto"/>
        <w:jc w:val="both"/>
        <w:rPr>
          <w:iCs/>
        </w:rPr>
      </w:pPr>
    </w:p>
    <w:p w14:paraId="46D9426F" w14:textId="22E68A52" w:rsidR="00BE5437" w:rsidRPr="00154C5A" w:rsidRDefault="00BE5437" w:rsidP="00A11054">
      <w:pPr>
        <w:spacing w:line="252" w:lineRule="auto"/>
        <w:jc w:val="both"/>
        <w:rPr>
          <w:i/>
          <w:iCs/>
          <w:color w:val="000000"/>
          <w:lang w:val="es-ES"/>
        </w:rPr>
      </w:pPr>
      <w:r w:rsidRPr="00154C5A">
        <w:rPr>
          <w:i/>
          <w:iCs/>
        </w:rPr>
        <w:t>Duración y plazo máximos sugeridos de ejecución de la Actividad 3 y remisión de entregables: Meses 2–4 a partir de T0.</w:t>
      </w:r>
    </w:p>
    <w:p w14:paraId="2A11EF80" w14:textId="0219282A" w:rsidR="00B325DB" w:rsidRDefault="00B325DB">
      <w:pPr>
        <w:rPr>
          <w:b/>
          <w:bCs/>
        </w:rPr>
      </w:pPr>
    </w:p>
    <w:p w14:paraId="17D663CF" w14:textId="113B46A5" w:rsidR="00BE5437" w:rsidRPr="00154C5A" w:rsidRDefault="00BE5437" w:rsidP="00A11054">
      <w:pPr>
        <w:spacing w:line="252" w:lineRule="auto"/>
        <w:jc w:val="both"/>
        <w:rPr>
          <w:b/>
          <w:bCs/>
          <w:u w:val="single"/>
          <w:lang w:val="es-ES"/>
        </w:rPr>
      </w:pPr>
      <w:r w:rsidRPr="00154C5A">
        <w:rPr>
          <w:b/>
          <w:bCs/>
        </w:rPr>
        <w:t>Actividad 4: Fase de producción multimedia, carga de contenidos y aseguramiento de calidad.</w:t>
      </w:r>
    </w:p>
    <w:p w14:paraId="16BFBA9E" w14:textId="77777777" w:rsidR="00BE5437" w:rsidRPr="00154C5A" w:rsidRDefault="00BE5437" w:rsidP="00A11054">
      <w:pPr>
        <w:spacing w:line="252" w:lineRule="auto"/>
        <w:jc w:val="both"/>
        <w:rPr>
          <w:i/>
          <w:iCs/>
          <w:lang w:val="es-ES"/>
        </w:rPr>
      </w:pPr>
      <w:r w:rsidRPr="00154C5A">
        <w:rPr>
          <w:i/>
          <w:iCs/>
        </w:rPr>
        <w:t>Para el desarrollo de esta actividad el contratista debe, como mínimo, desarrollar las siguientes subactividades:</w:t>
      </w:r>
    </w:p>
    <w:p w14:paraId="5466FEA3" w14:textId="596D6F55" w:rsidR="00BE5437" w:rsidRPr="007C4BAC" w:rsidRDefault="00BE5437" w:rsidP="0087163E">
      <w:pPr>
        <w:pStyle w:val="Paragraphedeliste"/>
        <w:numPr>
          <w:ilvl w:val="0"/>
          <w:numId w:val="18"/>
        </w:numPr>
        <w:jc w:val="both"/>
        <w:rPr>
          <w:iCs/>
          <w:lang w:val="es-CR"/>
        </w:rPr>
      </w:pPr>
      <w:r w:rsidRPr="007C4BAC">
        <w:rPr>
          <w:iCs/>
          <w:lang w:val="es-CR"/>
        </w:rPr>
        <w:t>Producción de contenidos (video, infografías, fichas técnicas, recursos descargables) y construcción de actividades y evaluaciones para los módulos priorizados, incluyendo el módulo introductorio de uso de plataforma y adaptación para baja conectividad.</w:t>
      </w:r>
    </w:p>
    <w:p w14:paraId="0E4398BF" w14:textId="19954DF4" w:rsidR="00BE5437" w:rsidRPr="007C4BAC" w:rsidRDefault="00BE5437" w:rsidP="0087163E">
      <w:pPr>
        <w:pStyle w:val="Paragraphedeliste"/>
        <w:numPr>
          <w:ilvl w:val="0"/>
          <w:numId w:val="17"/>
        </w:numPr>
        <w:jc w:val="both"/>
        <w:rPr>
          <w:iCs/>
          <w:lang w:val="es-CR"/>
        </w:rPr>
      </w:pPr>
      <w:r w:rsidRPr="007C4BAC">
        <w:rPr>
          <w:iCs/>
          <w:lang w:val="es-CR"/>
        </w:rPr>
        <w:t xml:space="preserve">Carga, parametrización y prueba de contenidos en el LMS </w:t>
      </w:r>
      <w:r w:rsidR="0084560D" w:rsidRPr="007C4BAC">
        <w:rPr>
          <w:iCs/>
          <w:lang w:val="es-CR"/>
        </w:rPr>
        <w:t xml:space="preserve">con </w:t>
      </w:r>
      <w:r w:rsidRPr="007C4BAC">
        <w:rPr>
          <w:iCs/>
          <w:lang w:val="es-CR"/>
        </w:rPr>
        <w:t>xAPI</w:t>
      </w:r>
      <w:r w:rsidR="00DA0A37" w:rsidRPr="007C4BAC">
        <w:rPr>
          <w:rStyle w:val="Appelnotedebasdep"/>
          <w:iCs/>
          <w:lang w:val="es-CR"/>
        </w:rPr>
        <w:footnoteReference w:id="1"/>
      </w:r>
      <w:r w:rsidR="00DA0A37" w:rsidRPr="007C4BAC">
        <w:rPr>
          <w:iCs/>
          <w:lang w:val="es-CR"/>
        </w:rPr>
        <w:t>,</w:t>
      </w:r>
      <w:r w:rsidRPr="007C4BAC">
        <w:rPr>
          <w:iCs/>
          <w:lang w:val="es-CR"/>
        </w:rPr>
        <w:t>, verificación de accesibilidad, consistencia técnica, control de calidad editorial y pedagógica, y validación del correcto registro de avance, calificaciones y reportes.</w:t>
      </w:r>
    </w:p>
    <w:p w14:paraId="52478F95" w14:textId="77777777" w:rsidR="00154C5A" w:rsidRDefault="00154C5A" w:rsidP="00A11054">
      <w:pPr>
        <w:spacing w:line="252" w:lineRule="auto"/>
        <w:jc w:val="both"/>
      </w:pPr>
    </w:p>
    <w:p w14:paraId="1E5C29D0" w14:textId="77777777" w:rsidR="00154C5A" w:rsidRPr="00C73576" w:rsidRDefault="00154C5A" w:rsidP="00A11054">
      <w:pPr>
        <w:spacing w:line="252" w:lineRule="auto"/>
        <w:jc w:val="both"/>
        <w:rPr>
          <w:lang w:val="es-ES"/>
        </w:rPr>
      </w:pPr>
      <w:r w:rsidRPr="00D072A4">
        <w:rPr>
          <w:i/>
          <w:iCs/>
          <w:u w:val="single"/>
          <w:lang w:val="es-ES"/>
        </w:rPr>
        <w:t>Entregables de esta</w:t>
      </w:r>
      <w:r>
        <w:rPr>
          <w:i/>
          <w:iCs/>
          <w:u w:val="single"/>
          <w:lang w:val="es-ES"/>
        </w:rPr>
        <w:t xml:space="preserve"> actividad</w:t>
      </w:r>
      <w:r w:rsidRPr="00C73576">
        <w:rPr>
          <w:lang w:val="es-ES"/>
        </w:rPr>
        <w:t>:</w:t>
      </w:r>
    </w:p>
    <w:p w14:paraId="50BCCC81" w14:textId="19AD3954" w:rsidR="00C835A0" w:rsidRPr="00F744CC" w:rsidRDefault="006A7954" w:rsidP="0087163E">
      <w:pPr>
        <w:pStyle w:val="Paragraphedeliste"/>
        <w:numPr>
          <w:ilvl w:val="0"/>
          <w:numId w:val="19"/>
        </w:numPr>
        <w:ind w:left="360"/>
        <w:jc w:val="both"/>
        <w:rPr>
          <w:iCs/>
          <w:lang w:val="es-CR"/>
        </w:rPr>
      </w:pPr>
      <w:r w:rsidRPr="006A4128">
        <w:rPr>
          <w:b/>
          <w:iCs/>
          <w:lang w:val="es-CR"/>
        </w:rPr>
        <w:t>Entregable n.°7:</w:t>
      </w:r>
      <w:r w:rsidRPr="00F744CC">
        <w:rPr>
          <w:iCs/>
          <w:lang w:val="es-CR"/>
        </w:rPr>
        <w:t xml:space="preserve"> Módulos digitales desarrollados y cargados en la plataforma (mínimo a validar con MAG–SFE; referencia: hasta 16 módulos), con evaluaciones, recursos descargables y módulo introductorio de alfabetización digital.</w:t>
      </w:r>
    </w:p>
    <w:p w14:paraId="75FE56B0" w14:textId="0D4005E2" w:rsidR="00C835A0" w:rsidRPr="00F744CC" w:rsidRDefault="006A7954" w:rsidP="0087163E">
      <w:pPr>
        <w:pStyle w:val="Paragraphedeliste"/>
        <w:numPr>
          <w:ilvl w:val="0"/>
          <w:numId w:val="19"/>
        </w:numPr>
        <w:ind w:left="360"/>
        <w:jc w:val="both"/>
        <w:rPr>
          <w:iCs/>
          <w:lang w:val="es-CR"/>
        </w:rPr>
      </w:pPr>
      <w:r w:rsidRPr="006A4128">
        <w:rPr>
          <w:b/>
          <w:iCs/>
          <w:lang w:val="es-CR"/>
        </w:rPr>
        <w:lastRenderedPageBreak/>
        <w:t>Entregable n.°8:</w:t>
      </w:r>
      <w:r w:rsidRPr="00F744CC">
        <w:rPr>
          <w:iCs/>
          <w:lang w:val="es-CR"/>
        </w:rPr>
        <w:t xml:space="preserve"> Informe de aseguramiento de calidad (QA) y liberación de la plataforma operativa (versión candidata a producción), incluyendo registro de incidencias, correcciones y validación del tablero de analítica básica.</w:t>
      </w:r>
    </w:p>
    <w:p w14:paraId="3950985F" w14:textId="77777777" w:rsidR="00154C5A" w:rsidRPr="00F744CC" w:rsidRDefault="00154C5A" w:rsidP="00F744CC">
      <w:pPr>
        <w:spacing w:line="252" w:lineRule="auto"/>
        <w:jc w:val="both"/>
        <w:rPr>
          <w:iCs/>
        </w:rPr>
      </w:pPr>
    </w:p>
    <w:p w14:paraId="63F246DB" w14:textId="377BB485" w:rsidR="00BE5437" w:rsidRPr="00154C5A" w:rsidRDefault="00BE5437" w:rsidP="00A11054">
      <w:r>
        <w:rPr>
          <w:i/>
        </w:rPr>
        <w:t>Duración y plazo máximos sugeridos de ejecución de la Actividad 4 y remisión de entregables: Meses 3–6 a partir de T0.</w:t>
      </w:r>
    </w:p>
    <w:p w14:paraId="6095314C" w14:textId="77777777" w:rsidR="00DA1B49" w:rsidRPr="00154C5A" w:rsidRDefault="00BE5437" w:rsidP="00A11054">
      <w:pPr>
        <w:spacing w:line="252" w:lineRule="auto"/>
        <w:jc w:val="both"/>
        <w:rPr>
          <w:b/>
          <w:bCs/>
          <w:lang w:val="es-ES"/>
        </w:rPr>
      </w:pPr>
      <w:r w:rsidRPr="00154C5A">
        <w:rPr>
          <w:b/>
          <w:bCs/>
        </w:rPr>
        <w:t xml:space="preserve">Actividad 5: Fase de implementación de pilotos </w:t>
      </w:r>
      <w:proofErr w:type="spellStart"/>
      <w:r w:rsidRPr="00154C5A">
        <w:rPr>
          <w:b/>
          <w:bCs/>
        </w:rPr>
        <w:t>blended</w:t>
      </w:r>
      <w:proofErr w:type="spellEnd"/>
      <w:r w:rsidRPr="00154C5A">
        <w:rPr>
          <w:b/>
          <w:bCs/>
        </w:rPr>
        <w:t xml:space="preserve"> (virtual + campo), acompañamiento técnico y ajuste de la plataforma.</w:t>
      </w:r>
    </w:p>
    <w:p w14:paraId="56912678" w14:textId="77777777" w:rsidR="00BE5437" w:rsidRPr="00154C5A" w:rsidRDefault="00BE5437" w:rsidP="00A11054">
      <w:pPr>
        <w:spacing w:line="252" w:lineRule="auto"/>
        <w:jc w:val="both"/>
        <w:rPr>
          <w:i/>
          <w:iCs/>
          <w:lang w:val="es-ES"/>
        </w:rPr>
      </w:pPr>
      <w:r w:rsidRPr="00154C5A">
        <w:rPr>
          <w:i/>
          <w:iCs/>
        </w:rPr>
        <w:t>Para el desarrollo de esta actividad el contratista debe, como mínimo, desarrollar las siguientes subactividades:</w:t>
      </w:r>
    </w:p>
    <w:p w14:paraId="197DBF16" w14:textId="63B6A5CB" w:rsidR="00C835A0" w:rsidRPr="004D6778" w:rsidRDefault="006A7954" w:rsidP="0087163E">
      <w:pPr>
        <w:pStyle w:val="Paragraphedeliste"/>
        <w:numPr>
          <w:ilvl w:val="0"/>
          <w:numId w:val="20"/>
        </w:numPr>
        <w:ind w:left="360"/>
        <w:jc w:val="both"/>
        <w:rPr>
          <w:iCs/>
          <w:lang w:val="es-CR"/>
        </w:rPr>
      </w:pPr>
      <w:r w:rsidRPr="004D6778">
        <w:rPr>
          <w:iCs/>
          <w:lang w:val="es-CR"/>
        </w:rPr>
        <w:t>Diseño del plan piloto para la cadena de valor de piña —, incluyendo criterios de selección, convocatoria, logística, cronograma de sesiones virtuales y actividades en campo.</w:t>
      </w:r>
    </w:p>
    <w:p w14:paraId="08185B47" w14:textId="519AC530" w:rsidR="00C835A0" w:rsidRPr="004D6778" w:rsidRDefault="006A7954" w:rsidP="0087163E">
      <w:pPr>
        <w:pStyle w:val="Paragraphedeliste"/>
        <w:numPr>
          <w:ilvl w:val="0"/>
          <w:numId w:val="20"/>
        </w:numPr>
        <w:ind w:left="360"/>
        <w:jc w:val="both"/>
        <w:rPr>
          <w:iCs/>
          <w:lang w:val="es-CR"/>
        </w:rPr>
      </w:pPr>
      <w:r w:rsidRPr="004D6778">
        <w:rPr>
          <w:iCs/>
          <w:lang w:val="es-CR"/>
        </w:rPr>
        <w:t>Ejecución de los pilotos: tutorías y soporte remoto, sesiones sincrónicas, días de campo y acompañamiento técnico para prácticas clave del programa TicoBPA. Cuando aplique, se podrán validar evidencias prácticas en campo para módulos críticos.</w:t>
      </w:r>
    </w:p>
    <w:p w14:paraId="297273AF" w14:textId="220EFE60" w:rsidR="00C835A0" w:rsidRPr="004D6778" w:rsidRDefault="006A7954" w:rsidP="0087163E">
      <w:pPr>
        <w:pStyle w:val="Paragraphedeliste"/>
        <w:numPr>
          <w:ilvl w:val="0"/>
          <w:numId w:val="20"/>
        </w:numPr>
        <w:ind w:left="360"/>
        <w:jc w:val="both"/>
        <w:rPr>
          <w:iCs/>
          <w:lang w:val="es-CR"/>
        </w:rPr>
      </w:pPr>
      <w:r w:rsidRPr="004D6778">
        <w:rPr>
          <w:iCs/>
          <w:lang w:val="es-CR"/>
        </w:rPr>
        <w:t>Monitoreo y evaluación del piloto: participación, finalización, aprobación, satisfacción, adopción inicial, principales dificultades, segmentación territorial y lecciones aprendidas; sistematización y ajustes priorizados a la plataforma y a los módulos.</w:t>
      </w:r>
    </w:p>
    <w:p w14:paraId="26CCBF97" w14:textId="77777777" w:rsidR="00154C5A" w:rsidRPr="004D6778" w:rsidRDefault="00154C5A" w:rsidP="00313289">
      <w:pPr>
        <w:spacing w:line="252" w:lineRule="auto"/>
        <w:jc w:val="both"/>
        <w:rPr>
          <w:iCs/>
          <w:u w:val="single"/>
          <w:lang w:val="es-ES"/>
        </w:rPr>
      </w:pPr>
    </w:p>
    <w:p w14:paraId="17DED47B" w14:textId="77777777" w:rsidR="00154C5A" w:rsidRPr="00C73576" w:rsidRDefault="00154C5A" w:rsidP="00A11054">
      <w:pPr>
        <w:spacing w:line="252" w:lineRule="auto"/>
        <w:jc w:val="both"/>
        <w:rPr>
          <w:lang w:val="es-ES"/>
        </w:rPr>
      </w:pPr>
      <w:r w:rsidRPr="00D072A4">
        <w:rPr>
          <w:i/>
          <w:iCs/>
          <w:u w:val="single"/>
          <w:lang w:val="es-ES"/>
        </w:rPr>
        <w:t>Entregables de esta</w:t>
      </w:r>
      <w:r>
        <w:rPr>
          <w:i/>
          <w:iCs/>
          <w:u w:val="single"/>
          <w:lang w:val="es-ES"/>
        </w:rPr>
        <w:t xml:space="preserve"> actividad</w:t>
      </w:r>
      <w:r w:rsidRPr="00C73576">
        <w:rPr>
          <w:lang w:val="es-ES"/>
        </w:rPr>
        <w:t>:</w:t>
      </w:r>
    </w:p>
    <w:p w14:paraId="5A8A373E" w14:textId="6152D1F8" w:rsidR="00154C5A" w:rsidRPr="00570988" w:rsidRDefault="00BE5437" w:rsidP="0087163E">
      <w:pPr>
        <w:pStyle w:val="Paragraphedeliste"/>
        <w:numPr>
          <w:ilvl w:val="0"/>
          <w:numId w:val="21"/>
        </w:numPr>
        <w:jc w:val="both"/>
        <w:rPr>
          <w:iCs/>
          <w:lang w:val="es-CR"/>
        </w:rPr>
      </w:pPr>
      <w:r w:rsidRPr="006A4128">
        <w:rPr>
          <w:b/>
          <w:iCs/>
          <w:lang w:val="es-CR"/>
        </w:rPr>
        <w:t>Entregable n.°9:</w:t>
      </w:r>
      <w:r w:rsidRPr="00570988">
        <w:rPr>
          <w:iCs/>
          <w:lang w:val="es-CR"/>
        </w:rPr>
        <w:t xml:space="preserve"> Informe de implementación y resultados del piloto, incluyendo evidencias, análisis de desempeño, indicadores segmentados, principales dificultades reportadas, lecciones aprendidas y recomendaciones.</w:t>
      </w:r>
    </w:p>
    <w:p w14:paraId="03762716" w14:textId="6A6BA10A" w:rsidR="00C835A0" w:rsidRDefault="006A7954" w:rsidP="0087163E">
      <w:pPr>
        <w:pStyle w:val="Paragraphedeliste"/>
        <w:numPr>
          <w:ilvl w:val="0"/>
          <w:numId w:val="21"/>
        </w:numPr>
        <w:jc w:val="both"/>
        <w:rPr>
          <w:iCs/>
          <w:lang w:val="es-CR"/>
        </w:rPr>
      </w:pPr>
      <w:r w:rsidRPr="006A4128">
        <w:rPr>
          <w:b/>
          <w:iCs/>
          <w:lang w:val="es-CR"/>
        </w:rPr>
        <w:t>Entregable n.°10</w:t>
      </w:r>
      <w:r w:rsidRPr="003A7779">
        <w:rPr>
          <w:iCs/>
          <w:lang w:val="es-CR"/>
        </w:rPr>
        <w:t>: Versión ajustada de la plataforma y de los módulos (</w:t>
      </w:r>
      <w:proofErr w:type="spellStart"/>
      <w:r w:rsidRPr="00817F78">
        <w:rPr>
          <w:i/>
          <w:iCs/>
          <w:lang w:val="es-CR"/>
        </w:rPr>
        <w:t>release</w:t>
      </w:r>
      <w:proofErr w:type="spellEnd"/>
      <w:r w:rsidRPr="00817F78">
        <w:rPr>
          <w:i/>
          <w:iCs/>
          <w:lang w:val="es-CR"/>
        </w:rPr>
        <w:t xml:space="preserve"> final</w:t>
      </w:r>
      <w:r w:rsidRPr="003A7779">
        <w:rPr>
          <w:iCs/>
          <w:lang w:val="es-CR"/>
        </w:rPr>
        <w:t>), más plan de escalamiento y operación, incluyendo roles institucionales, costos recurrentes, estrategia de soporte y ruta de mejora continua.</w:t>
      </w:r>
    </w:p>
    <w:p w14:paraId="7D2F3658" w14:textId="77777777" w:rsidR="00491812" w:rsidRPr="00491812" w:rsidRDefault="00491812" w:rsidP="00491812">
      <w:pPr>
        <w:jc w:val="both"/>
        <w:rPr>
          <w:iCs/>
        </w:rPr>
      </w:pPr>
    </w:p>
    <w:p w14:paraId="66C61722" w14:textId="767059CB" w:rsidR="00BE5437" w:rsidRPr="00154C5A" w:rsidRDefault="00BE5437" w:rsidP="00A11054">
      <w:r>
        <w:rPr>
          <w:i/>
        </w:rPr>
        <w:t>Duración y plazo máximos sugeridos de ejecución de la Actividad 5 y remisión de entregables: Meses 6–9 a partir de T0.</w:t>
      </w:r>
    </w:p>
    <w:p w14:paraId="587270A1" w14:textId="77777777" w:rsidR="00DA1B49" w:rsidRPr="00154C5A" w:rsidRDefault="00DA1B49" w:rsidP="00A11054">
      <w:pPr>
        <w:spacing w:line="252" w:lineRule="auto"/>
        <w:jc w:val="both"/>
        <w:rPr>
          <w:b/>
          <w:bCs/>
          <w:u w:val="single"/>
          <w:lang w:val="es-ES"/>
        </w:rPr>
      </w:pPr>
      <w:r w:rsidRPr="00154C5A">
        <w:rPr>
          <w:b/>
          <w:bCs/>
        </w:rPr>
        <w:t>Actividad 6: Fase de transferencia, cierre de la consultoría y sostenibilidad.</w:t>
      </w:r>
    </w:p>
    <w:p w14:paraId="3957C54D" w14:textId="77777777" w:rsidR="00DA1B49" w:rsidRPr="00491812" w:rsidRDefault="00DA1B49" w:rsidP="00A11054">
      <w:pPr>
        <w:spacing w:line="252" w:lineRule="auto"/>
        <w:jc w:val="both"/>
        <w:rPr>
          <w:i/>
          <w:iCs/>
          <w:lang w:val="es-ES"/>
        </w:rPr>
      </w:pPr>
      <w:r w:rsidRPr="00491812">
        <w:rPr>
          <w:i/>
          <w:iCs/>
        </w:rPr>
        <w:t>Para el desarrollo de esta actividad el contratista debe, como mínimo, desarrollar las siguientes subactividades:</w:t>
      </w:r>
    </w:p>
    <w:p w14:paraId="065B7646" w14:textId="77777777" w:rsidR="00773014" w:rsidRDefault="00DA1B49" w:rsidP="0087163E">
      <w:pPr>
        <w:pStyle w:val="Paragraphedeliste"/>
        <w:numPr>
          <w:ilvl w:val="0"/>
          <w:numId w:val="5"/>
        </w:numPr>
        <w:spacing w:after="160" w:line="252" w:lineRule="auto"/>
        <w:jc w:val="both"/>
        <w:rPr>
          <w:lang w:val="es-ES"/>
        </w:rPr>
      </w:pPr>
      <w:r w:rsidRPr="00F87184">
        <w:rPr>
          <w:lang w:val="es-CR"/>
        </w:rPr>
        <w:t>Reunión de balance técnico y cierre administrativo con MAG–SFE y Expertise France.</w:t>
      </w:r>
    </w:p>
    <w:p w14:paraId="601A3577" w14:textId="50707C40" w:rsidR="00C835A0" w:rsidRPr="00773014" w:rsidRDefault="006A7954" w:rsidP="0087163E">
      <w:pPr>
        <w:pStyle w:val="Paragraphedeliste"/>
        <w:numPr>
          <w:ilvl w:val="0"/>
          <w:numId w:val="5"/>
        </w:numPr>
        <w:spacing w:after="160" w:line="252" w:lineRule="auto"/>
        <w:jc w:val="both"/>
        <w:rPr>
          <w:lang w:val="es-ES"/>
        </w:rPr>
      </w:pPr>
      <w:r w:rsidRPr="00773014">
        <w:rPr>
          <w:iCs/>
          <w:lang w:val="es-CR"/>
        </w:rPr>
        <w:t>Transferencia de la plataforma: capacitación a administradores y usuarios clave, entrega de manuales de usuario y administrador, repositorios de contenidos, documentación técnica, respaldo de configuraciones, tablero de monitoreo y guía para actualización de módulos futuros.</w:t>
      </w:r>
    </w:p>
    <w:p w14:paraId="5D1FE5FC" w14:textId="77777777" w:rsidR="00A11054" w:rsidRPr="00C73576" w:rsidRDefault="00A11054" w:rsidP="00A11054">
      <w:pPr>
        <w:spacing w:line="252" w:lineRule="auto"/>
        <w:jc w:val="both"/>
        <w:rPr>
          <w:lang w:val="es-ES"/>
        </w:rPr>
      </w:pPr>
      <w:r w:rsidRPr="00D072A4">
        <w:rPr>
          <w:i/>
          <w:iCs/>
          <w:u w:val="single"/>
          <w:lang w:val="es-ES"/>
        </w:rPr>
        <w:t>Entregables de esta</w:t>
      </w:r>
      <w:r>
        <w:rPr>
          <w:i/>
          <w:iCs/>
          <w:u w:val="single"/>
          <w:lang w:val="es-ES"/>
        </w:rPr>
        <w:t xml:space="preserve"> actividad</w:t>
      </w:r>
      <w:r w:rsidRPr="00C73576">
        <w:rPr>
          <w:lang w:val="es-ES"/>
        </w:rPr>
        <w:t>:</w:t>
      </w:r>
    </w:p>
    <w:p w14:paraId="2BC6D4FB" w14:textId="4E22E1A9" w:rsidR="00C835A0" w:rsidRPr="003B6A0E" w:rsidRDefault="006A7954" w:rsidP="0087163E">
      <w:pPr>
        <w:pStyle w:val="Paragraphedeliste"/>
        <w:numPr>
          <w:ilvl w:val="0"/>
          <w:numId w:val="22"/>
        </w:numPr>
        <w:jc w:val="both"/>
        <w:rPr>
          <w:iCs/>
        </w:rPr>
      </w:pPr>
      <w:r w:rsidRPr="0009242B">
        <w:rPr>
          <w:b/>
          <w:iCs/>
        </w:rPr>
        <w:t>Entregable n</w:t>
      </w:r>
      <w:proofErr w:type="gramStart"/>
      <w:r w:rsidRPr="0009242B">
        <w:rPr>
          <w:b/>
          <w:iCs/>
        </w:rPr>
        <w:t>.°</w:t>
      </w:r>
      <w:proofErr w:type="gramEnd"/>
      <w:r w:rsidRPr="0009242B">
        <w:rPr>
          <w:b/>
          <w:iCs/>
        </w:rPr>
        <w:t>11:</w:t>
      </w:r>
      <w:r w:rsidRPr="003B6A0E">
        <w:rPr>
          <w:iCs/>
        </w:rPr>
        <w:t xml:space="preserve"> Informe final de la consultoría (incluye resumen ejecutivo), plataforma en versión final en producción, manuales y documentación técnica, repositorio de contenidos, </w:t>
      </w:r>
      <w:r w:rsidRPr="003B6A0E">
        <w:rPr>
          <w:iCs/>
        </w:rPr>
        <w:lastRenderedPageBreak/>
        <w:t>diccionario de variables, plan de operación y escalamiento, y memoria de transferencia institucional.</w:t>
      </w:r>
    </w:p>
    <w:p w14:paraId="0082C3B8" w14:textId="77777777" w:rsidR="0009242B" w:rsidRDefault="0009242B" w:rsidP="0009242B">
      <w:pPr>
        <w:jc w:val="both"/>
        <w:rPr>
          <w:iCs/>
          <w:lang w:val="en-US"/>
        </w:rPr>
      </w:pPr>
    </w:p>
    <w:p w14:paraId="05E57243" w14:textId="687F8E4B" w:rsidR="00DA1B49" w:rsidRPr="0009242B" w:rsidRDefault="00DA1B49" w:rsidP="0009242B">
      <w:pPr>
        <w:jc w:val="both"/>
        <w:rPr>
          <w:i/>
          <w:iCs/>
        </w:rPr>
      </w:pPr>
      <w:r w:rsidRPr="0009242B">
        <w:rPr>
          <w:i/>
          <w:iCs/>
        </w:rPr>
        <w:t xml:space="preserve">Duración y plazo máximos sugeridos de ejecución de la Actividad 6 y </w:t>
      </w:r>
      <w:proofErr w:type="spellStart"/>
      <w:r w:rsidRPr="0009242B">
        <w:rPr>
          <w:i/>
          <w:iCs/>
        </w:rPr>
        <w:t>remisión</w:t>
      </w:r>
      <w:proofErr w:type="spellEnd"/>
      <w:r w:rsidRPr="0009242B">
        <w:rPr>
          <w:i/>
          <w:iCs/>
        </w:rPr>
        <w:t xml:space="preserve"> de </w:t>
      </w:r>
      <w:proofErr w:type="spellStart"/>
      <w:r w:rsidRPr="0009242B">
        <w:rPr>
          <w:i/>
          <w:iCs/>
        </w:rPr>
        <w:t>entregables</w:t>
      </w:r>
      <w:proofErr w:type="spellEnd"/>
      <w:r w:rsidRPr="0009242B">
        <w:rPr>
          <w:i/>
          <w:iCs/>
        </w:rPr>
        <w:t xml:space="preserve">: </w:t>
      </w:r>
      <w:proofErr w:type="spellStart"/>
      <w:r w:rsidRPr="0009242B">
        <w:rPr>
          <w:i/>
          <w:iCs/>
        </w:rPr>
        <w:t>Mes</w:t>
      </w:r>
      <w:proofErr w:type="spellEnd"/>
      <w:r w:rsidRPr="0009242B">
        <w:rPr>
          <w:i/>
          <w:iCs/>
        </w:rPr>
        <w:t xml:space="preserve"> 10 a </w:t>
      </w:r>
      <w:proofErr w:type="spellStart"/>
      <w:r w:rsidRPr="0009242B">
        <w:rPr>
          <w:i/>
          <w:iCs/>
        </w:rPr>
        <w:t>partir</w:t>
      </w:r>
      <w:proofErr w:type="spellEnd"/>
      <w:r w:rsidRPr="0009242B">
        <w:rPr>
          <w:i/>
          <w:iCs/>
        </w:rPr>
        <w:t xml:space="preserve"> de T0.</w:t>
      </w:r>
    </w:p>
    <w:p w14:paraId="1CF8444C" w14:textId="77777777" w:rsidR="003B6A0E" w:rsidRPr="003B6A0E" w:rsidRDefault="003B6A0E" w:rsidP="003B6A0E">
      <w:pPr>
        <w:jc w:val="both"/>
        <w:rPr>
          <w:iCs/>
        </w:rPr>
      </w:pPr>
    </w:p>
    <w:p w14:paraId="67D6AAFE" w14:textId="7978B069" w:rsidR="00BE5437" w:rsidRPr="002F3DCB" w:rsidRDefault="00817F78" w:rsidP="003B6A0E">
      <w:pPr>
        <w:pStyle w:val="Titre2"/>
        <w:rPr>
          <w:sz w:val="22"/>
          <w:szCs w:val="24"/>
        </w:rPr>
      </w:pPr>
      <w:r>
        <w:rPr>
          <w:sz w:val="22"/>
          <w:szCs w:val="24"/>
        </w:rPr>
        <w:t xml:space="preserve">6. </w:t>
      </w:r>
      <w:r w:rsidR="006F5F66" w:rsidRPr="002F3DCB">
        <w:rPr>
          <w:sz w:val="22"/>
          <w:szCs w:val="24"/>
        </w:rPr>
        <w:tab/>
        <w:t>Calendario de implementación</w:t>
      </w:r>
      <w:r>
        <w:rPr>
          <w:sz w:val="22"/>
          <w:szCs w:val="24"/>
        </w:rPr>
        <w:t>:</w:t>
      </w:r>
    </w:p>
    <w:p w14:paraId="4DC54BE6" w14:textId="77777777" w:rsidR="002F3DCB" w:rsidRDefault="002F3DCB" w:rsidP="003B6A0E">
      <w:pPr>
        <w:jc w:val="both"/>
        <w:rPr>
          <w:iCs/>
        </w:rPr>
      </w:pPr>
    </w:p>
    <w:p w14:paraId="316ABA6D" w14:textId="47ACDDC9" w:rsidR="00BE5437" w:rsidRPr="003B6A0E" w:rsidRDefault="00BE5437" w:rsidP="003B6A0E">
      <w:pPr>
        <w:jc w:val="both"/>
        <w:rPr>
          <w:iCs/>
        </w:rPr>
      </w:pPr>
      <w:r w:rsidRPr="003B6A0E">
        <w:rPr>
          <w:iCs/>
        </w:rPr>
        <w:t>El cronograma se expresa en meses contados a partir de la fecha de inicio de la consultoría definida por Expertise France (T0). Para asegurar consistencia entre narrativa, actividades y entregables, estos TdR homologan la misión a 10 meses. El cuadro siguiente es referencial y deberá ajustarse en el Entregable n.°1 para reflejar la fecha exacta de inicio y los hitos de validación.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976"/>
      </w:tblGrid>
      <w:tr w:rsidR="00817F78" w:rsidRPr="00A11054" w14:paraId="1FCB2CDB" w14:textId="77777777" w:rsidTr="00B36C10">
        <w:trPr>
          <w:jc w:val="center"/>
        </w:trPr>
        <w:tc>
          <w:tcPr>
            <w:tcW w:w="4815" w:type="dxa"/>
            <w:shd w:val="clear" w:color="auto" w:fill="auto"/>
            <w:vAlign w:val="center"/>
          </w:tcPr>
          <w:p w14:paraId="667EAD81" w14:textId="77777777" w:rsidR="00817F78" w:rsidRPr="00F36475" w:rsidRDefault="00817F78" w:rsidP="00F36475">
            <w:pPr>
              <w:jc w:val="center"/>
              <w:rPr>
                <w:b/>
                <w:bCs/>
              </w:rPr>
            </w:pPr>
            <w:r w:rsidRPr="00F36475">
              <w:rPr>
                <w:b/>
                <w:bCs/>
                <w:sz w:val="20"/>
              </w:rPr>
              <w:t>Actividad / Entregable</w:t>
            </w:r>
            <w:r w:rsidRPr="00F36475">
              <w:rPr>
                <w:b/>
                <w:bCs/>
                <w:sz w:val="20"/>
              </w:rPr>
              <w:br/>
              <w:t>(observación principal)</w:t>
            </w:r>
          </w:p>
        </w:tc>
        <w:tc>
          <w:tcPr>
            <w:tcW w:w="3976" w:type="dxa"/>
            <w:shd w:val="clear" w:color="auto" w:fill="auto"/>
            <w:vAlign w:val="center"/>
          </w:tcPr>
          <w:p w14:paraId="24D319C3" w14:textId="77777777" w:rsidR="00817F78" w:rsidRPr="00F36475" w:rsidRDefault="00817F78" w:rsidP="00F36475">
            <w:pPr>
              <w:jc w:val="center"/>
              <w:rPr>
                <w:b/>
                <w:bCs/>
              </w:rPr>
            </w:pPr>
            <w:r w:rsidRPr="00F36475">
              <w:rPr>
                <w:b/>
                <w:bCs/>
                <w:sz w:val="20"/>
              </w:rPr>
              <w:t>Meses activos</w:t>
            </w:r>
          </w:p>
        </w:tc>
      </w:tr>
      <w:tr w:rsidR="00817F78" w:rsidRPr="00A11054" w14:paraId="09BDEE0D" w14:textId="77777777" w:rsidTr="00B36C10">
        <w:trPr>
          <w:jc w:val="center"/>
        </w:trPr>
        <w:tc>
          <w:tcPr>
            <w:tcW w:w="4815" w:type="dxa"/>
            <w:shd w:val="clear" w:color="auto" w:fill="auto"/>
            <w:vAlign w:val="center"/>
          </w:tcPr>
          <w:p w14:paraId="508482FB" w14:textId="007A6BDC" w:rsidR="00817F78" w:rsidRDefault="00817F78">
            <w:proofErr w:type="spellStart"/>
            <w:r>
              <w:rPr>
                <w:sz w:val="20"/>
              </w:rPr>
              <w:t>Act</w:t>
            </w:r>
            <w:proofErr w:type="spellEnd"/>
            <w:r>
              <w:rPr>
                <w:sz w:val="20"/>
              </w:rPr>
              <w:t>. 1 – Entregables 1–2 Arranque / planificación</w:t>
            </w:r>
          </w:p>
        </w:tc>
        <w:tc>
          <w:tcPr>
            <w:tcW w:w="3976" w:type="dxa"/>
            <w:shd w:val="clear" w:color="auto" w:fill="auto"/>
            <w:vAlign w:val="center"/>
          </w:tcPr>
          <w:p w14:paraId="06A1C495" w14:textId="77777777" w:rsidR="00817F78" w:rsidRDefault="00817F78">
            <w:pPr>
              <w:jc w:val="center"/>
            </w:pPr>
            <w:r>
              <w:rPr>
                <w:sz w:val="20"/>
              </w:rPr>
              <w:t>M1</w:t>
            </w:r>
          </w:p>
        </w:tc>
      </w:tr>
      <w:tr w:rsidR="00817F78" w:rsidRPr="00A11054" w14:paraId="6DB81A24" w14:textId="77777777" w:rsidTr="00B36C10">
        <w:trPr>
          <w:jc w:val="center"/>
        </w:trPr>
        <w:tc>
          <w:tcPr>
            <w:tcW w:w="4815" w:type="dxa"/>
            <w:shd w:val="clear" w:color="auto" w:fill="auto"/>
            <w:vAlign w:val="center"/>
          </w:tcPr>
          <w:p w14:paraId="566225A3" w14:textId="160B61AE" w:rsidR="00817F78" w:rsidRDefault="00817F78">
            <w:proofErr w:type="spellStart"/>
            <w:r>
              <w:rPr>
                <w:sz w:val="20"/>
              </w:rPr>
              <w:t>Act</w:t>
            </w:r>
            <w:proofErr w:type="spellEnd"/>
            <w:r>
              <w:rPr>
                <w:sz w:val="20"/>
              </w:rPr>
              <w:t>. 2 – Entregables 3–4 Diseño instruccional</w:t>
            </w:r>
          </w:p>
        </w:tc>
        <w:tc>
          <w:tcPr>
            <w:tcW w:w="3976" w:type="dxa"/>
            <w:shd w:val="clear" w:color="auto" w:fill="auto"/>
            <w:vAlign w:val="center"/>
          </w:tcPr>
          <w:p w14:paraId="0E4AD1E8" w14:textId="77777777" w:rsidR="00817F78" w:rsidRDefault="00817F78">
            <w:pPr>
              <w:jc w:val="center"/>
            </w:pPr>
            <w:r>
              <w:rPr>
                <w:sz w:val="20"/>
              </w:rPr>
              <w:t>M1–M2</w:t>
            </w:r>
          </w:p>
        </w:tc>
      </w:tr>
      <w:tr w:rsidR="00817F78" w:rsidRPr="00A11054" w14:paraId="5B2DC0CA" w14:textId="77777777" w:rsidTr="00B36C10">
        <w:trPr>
          <w:jc w:val="center"/>
        </w:trPr>
        <w:tc>
          <w:tcPr>
            <w:tcW w:w="4815" w:type="dxa"/>
            <w:shd w:val="clear" w:color="auto" w:fill="auto"/>
            <w:vAlign w:val="center"/>
          </w:tcPr>
          <w:p w14:paraId="4ACFD9D4" w14:textId="0544ACF6" w:rsidR="00817F78" w:rsidRDefault="00817F78">
            <w:proofErr w:type="spellStart"/>
            <w:r>
              <w:rPr>
                <w:sz w:val="20"/>
              </w:rPr>
              <w:t>Act</w:t>
            </w:r>
            <w:proofErr w:type="spellEnd"/>
            <w:r>
              <w:rPr>
                <w:sz w:val="20"/>
              </w:rPr>
              <w:t>. 3 – Entregables 5–6 LMS beta + QA</w:t>
            </w:r>
          </w:p>
        </w:tc>
        <w:tc>
          <w:tcPr>
            <w:tcW w:w="3976" w:type="dxa"/>
            <w:shd w:val="clear" w:color="auto" w:fill="auto"/>
            <w:vAlign w:val="center"/>
          </w:tcPr>
          <w:p w14:paraId="22E47282" w14:textId="77777777" w:rsidR="00817F78" w:rsidRDefault="00817F78">
            <w:pPr>
              <w:jc w:val="center"/>
            </w:pPr>
            <w:r>
              <w:rPr>
                <w:sz w:val="20"/>
              </w:rPr>
              <w:t>M2–M4</w:t>
            </w:r>
          </w:p>
        </w:tc>
      </w:tr>
      <w:tr w:rsidR="00817F78" w:rsidRPr="00A11054" w14:paraId="3F95C5DB" w14:textId="77777777" w:rsidTr="00B36C10">
        <w:trPr>
          <w:jc w:val="center"/>
        </w:trPr>
        <w:tc>
          <w:tcPr>
            <w:tcW w:w="4815" w:type="dxa"/>
            <w:shd w:val="clear" w:color="auto" w:fill="auto"/>
            <w:vAlign w:val="center"/>
          </w:tcPr>
          <w:p w14:paraId="0549F33B" w14:textId="1B0832ED" w:rsidR="00817F78" w:rsidRDefault="00817F78">
            <w:proofErr w:type="spellStart"/>
            <w:r>
              <w:rPr>
                <w:sz w:val="20"/>
              </w:rPr>
              <w:t>Act</w:t>
            </w:r>
            <w:proofErr w:type="spellEnd"/>
            <w:r>
              <w:rPr>
                <w:sz w:val="20"/>
              </w:rPr>
              <w:t>. 4 – Entregables 7–8 Producción / carga</w:t>
            </w:r>
          </w:p>
        </w:tc>
        <w:tc>
          <w:tcPr>
            <w:tcW w:w="3976" w:type="dxa"/>
            <w:shd w:val="clear" w:color="auto" w:fill="auto"/>
            <w:vAlign w:val="center"/>
          </w:tcPr>
          <w:p w14:paraId="0104DCDA" w14:textId="77777777" w:rsidR="00817F78" w:rsidRDefault="00817F78">
            <w:pPr>
              <w:jc w:val="center"/>
            </w:pPr>
            <w:r>
              <w:rPr>
                <w:sz w:val="20"/>
              </w:rPr>
              <w:t>M3–M6</w:t>
            </w:r>
          </w:p>
        </w:tc>
      </w:tr>
      <w:tr w:rsidR="00817F78" w:rsidRPr="00A11054" w14:paraId="1EDA50BB" w14:textId="77777777" w:rsidTr="00B36C10">
        <w:trPr>
          <w:jc w:val="center"/>
        </w:trPr>
        <w:tc>
          <w:tcPr>
            <w:tcW w:w="4815" w:type="dxa"/>
            <w:shd w:val="clear" w:color="auto" w:fill="auto"/>
            <w:vAlign w:val="center"/>
          </w:tcPr>
          <w:p w14:paraId="6FD42641" w14:textId="63703D4A" w:rsidR="00817F78" w:rsidRDefault="00817F78">
            <w:proofErr w:type="spellStart"/>
            <w:r>
              <w:rPr>
                <w:sz w:val="20"/>
              </w:rPr>
              <w:t>Act</w:t>
            </w:r>
            <w:proofErr w:type="spellEnd"/>
            <w:r>
              <w:rPr>
                <w:sz w:val="20"/>
              </w:rPr>
              <w:t>. 5 – Entregables 9–10 Piloto, monitoreo y ajustes</w:t>
            </w:r>
          </w:p>
        </w:tc>
        <w:tc>
          <w:tcPr>
            <w:tcW w:w="3976" w:type="dxa"/>
            <w:shd w:val="clear" w:color="auto" w:fill="auto"/>
            <w:vAlign w:val="center"/>
          </w:tcPr>
          <w:p w14:paraId="38CC7CE8" w14:textId="77777777" w:rsidR="00817F78" w:rsidRDefault="00817F78">
            <w:pPr>
              <w:jc w:val="center"/>
            </w:pPr>
            <w:r>
              <w:rPr>
                <w:sz w:val="20"/>
              </w:rPr>
              <w:t>M6–M9</w:t>
            </w:r>
          </w:p>
        </w:tc>
      </w:tr>
      <w:tr w:rsidR="00817F78" w:rsidRPr="00A11054" w14:paraId="6BDA20EB" w14:textId="77777777" w:rsidTr="00B36C10">
        <w:trPr>
          <w:jc w:val="center"/>
        </w:trPr>
        <w:tc>
          <w:tcPr>
            <w:tcW w:w="4815" w:type="dxa"/>
            <w:shd w:val="clear" w:color="auto" w:fill="auto"/>
            <w:vAlign w:val="center"/>
          </w:tcPr>
          <w:p w14:paraId="3857E655" w14:textId="5721CCFA" w:rsidR="00817F78" w:rsidRDefault="00817F78">
            <w:proofErr w:type="spellStart"/>
            <w:r>
              <w:rPr>
                <w:sz w:val="20"/>
              </w:rPr>
              <w:t>Act</w:t>
            </w:r>
            <w:proofErr w:type="spellEnd"/>
            <w:r>
              <w:rPr>
                <w:sz w:val="20"/>
              </w:rPr>
              <w:t>. 6 – Entregable 11 Transferencia y cierre</w:t>
            </w:r>
          </w:p>
        </w:tc>
        <w:tc>
          <w:tcPr>
            <w:tcW w:w="3976" w:type="dxa"/>
            <w:shd w:val="clear" w:color="auto" w:fill="auto"/>
            <w:vAlign w:val="center"/>
          </w:tcPr>
          <w:p w14:paraId="1F2C20E6" w14:textId="77777777" w:rsidR="00817F78" w:rsidRDefault="00817F78">
            <w:pPr>
              <w:jc w:val="center"/>
            </w:pPr>
            <w:r>
              <w:rPr>
                <w:sz w:val="20"/>
              </w:rPr>
              <w:t>M10</w:t>
            </w:r>
          </w:p>
        </w:tc>
      </w:tr>
    </w:tbl>
    <w:p w14:paraId="49D420A3" w14:textId="77777777" w:rsidR="00817F78" w:rsidRDefault="00817F78" w:rsidP="00A11054">
      <w:pPr>
        <w:spacing w:line="276" w:lineRule="auto"/>
        <w:ind w:right="85"/>
        <w:jc w:val="both"/>
      </w:pPr>
      <w:bookmarkStart w:id="10" w:name="_Toc52213331"/>
      <w:bookmarkEnd w:id="10"/>
    </w:p>
    <w:p w14:paraId="2A2DB901" w14:textId="639E4544" w:rsidR="00BE5437" w:rsidRDefault="00BE5437" w:rsidP="00A11054">
      <w:pPr>
        <w:spacing w:line="276" w:lineRule="auto"/>
        <w:ind w:right="85"/>
        <w:jc w:val="both"/>
        <w:rPr>
          <w:rFonts w:cs="Calibri"/>
          <w:lang w:val="es-CO"/>
        </w:rPr>
      </w:pPr>
      <w:r>
        <w:t>Todos los productos deberán ser revisados y validados de manera conjunta por el MAG–SFE y Expertise France, conforme al mecanismo de revisión y aprobación acordado en la Actividad 1.</w:t>
      </w:r>
    </w:p>
    <w:p w14:paraId="371F28EA" w14:textId="04EE3AFE" w:rsidR="006F5F66" w:rsidRDefault="00F86107" w:rsidP="0087163E">
      <w:pPr>
        <w:pStyle w:val="Titre2"/>
        <w:numPr>
          <w:ilvl w:val="0"/>
          <w:numId w:val="25"/>
        </w:numPr>
        <w:jc w:val="both"/>
        <w:rPr>
          <w:sz w:val="22"/>
          <w:szCs w:val="24"/>
          <w:lang w:val="es-CO"/>
        </w:rPr>
      </w:pPr>
      <w:r w:rsidRPr="001A5912">
        <w:rPr>
          <w:sz w:val="22"/>
          <w:szCs w:val="24"/>
          <w:lang w:val="es-CO"/>
        </w:rPr>
        <w:t>Modalidades prácticas</w:t>
      </w:r>
      <w:r w:rsidR="00817F78">
        <w:rPr>
          <w:sz w:val="22"/>
          <w:szCs w:val="24"/>
          <w:lang w:val="es-CO"/>
        </w:rPr>
        <w:t>:</w:t>
      </w:r>
    </w:p>
    <w:p w14:paraId="417172C6" w14:textId="77777777" w:rsidR="001A5912" w:rsidRPr="0015563F" w:rsidRDefault="001A5912" w:rsidP="00A11054">
      <w:pPr>
        <w:jc w:val="both"/>
        <w:rPr>
          <w:lang w:val="es-CO" w:eastAsia="fr-FR"/>
        </w:rPr>
      </w:pPr>
    </w:p>
    <w:p w14:paraId="384CE0A2" w14:textId="3AE220D6" w:rsidR="00BE5437" w:rsidRPr="0053584A" w:rsidRDefault="00817F78" w:rsidP="00A11054">
      <w:pPr>
        <w:pStyle w:val="Titre2"/>
        <w:keepLines/>
        <w:widowControl/>
        <w:numPr>
          <w:ilvl w:val="1"/>
          <w:numId w:val="0"/>
        </w:numPr>
        <w:spacing w:before="240" w:after="240" w:line="276" w:lineRule="auto"/>
        <w:ind w:left="578" w:hanging="578"/>
        <w:jc w:val="both"/>
        <w:rPr>
          <w:color w:val="002060"/>
          <w:sz w:val="22"/>
          <w:szCs w:val="22"/>
          <w:lang w:val="es-CO"/>
        </w:rPr>
      </w:pPr>
      <w:bookmarkStart w:id="11" w:name="_Toc179973789"/>
      <w:r>
        <w:rPr>
          <w:color w:val="002060"/>
          <w:sz w:val="22"/>
          <w:szCs w:val="22"/>
          <w:lang w:val="es-CO"/>
        </w:rPr>
        <w:t>7.</w:t>
      </w:r>
      <w:r w:rsidR="000E4991" w:rsidRPr="0053584A">
        <w:rPr>
          <w:color w:val="002060"/>
          <w:sz w:val="22"/>
          <w:szCs w:val="22"/>
          <w:lang w:val="es-CO"/>
        </w:rPr>
        <w:t>1</w:t>
      </w:r>
      <w:r w:rsidR="000E4991" w:rsidRPr="0053584A">
        <w:rPr>
          <w:color w:val="002060"/>
          <w:sz w:val="22"/>
          <w:szCs w:val="22"/>
          <w:lang w:val="es-CO"/>
        </w:rPr>
        <w:tab/>
      </w:r>
      <w:r w:rsidR="00BE5437" w:rsidRPr="0053584A">
        <w:rPr>
          <w:color w:val="002060"/>
          <w:sz w:val="22"/>
          <w:szCs w:val="22"/>
          <w:lang w:val="es-CO"/>
        </w:rPr>
        <w:t>Supervisión y aprobación de productos</w:t>
      </w:r>
      <w:bookmarkEnd w:id="11"/>
      <w:r>
        <w:rPr>
          <w:color w:val="002060"/>
          <w:sz w:val="22"/>
          <w:szCs w:val="22"/>
          <w:lang w:val="es-CO"/>
        </w:rPr>
        <w:t>.</w:t>
      </w:r>
    </w:p>
    <w:p w14:paraId="7852845C" w14:textId="4CEFD06F" w:rsidR="00BE5437" w:rsidRDefault="00BE5437" w:rsidP="00A11054">
      <w:pPr>
        <w:spacing w:line="276" w:lineRule="auto"/>
        <w:jc w:val="both"/>
        <w:rPr>
          <w:rFonts w:cs="Calibri"/>
          <w:lang w:val="es-CO"/>
        </w:rPr>
      </w:pPr>
      <w:r>
        <w:t xml:space="preserve">Para llevar a cabo la misión, el proveedor de servicios trabajará bajo la supervisión </w:t>
      </w:r>
      <w:r w:rsidR="00817F78">
        <w:t>del Encargado de Proyectos</w:t>
      </w:r>
      <w:r>
        <w:t xml:space="preserve"> de Expertise France y en estrecha coordinación con el MAG–SFE (incluyendo el equipo responsable de BPA/TICO-BPA).</w:t>
      </w:r>
    </w:p>
    <w:p w14:paraId="10ACB1A4" w14:textId="77777777" w:rsidR="00BE5437" w:rsidRPr="00C15D1A" w:rsidRDefault="00BE5437" w:rsidP="00A11054">
      <w:pPr>
        <w:spacing w:line="276" w:lineRule="auto"/>
        <w:jc w:val="both"/>
        <w:rPr>
          <w:rFonts w:cs="Calibri"/>
          <w:lang w:val="es-CO"/>
        </w:rPr>
      </w:pPr>
      <w:r>
        <w:t>Las tareas específicas se coordinarán con el grupo técnico de trabajo conformado por delegados del MAG–SFE y Expertise France, y cuando corresponda, con actores territoriales vinculados a los pilotos.</w:t>
      </w:r>
    </w:p>
    <w:p w14:paraId="4C278990" w14:textId="77777777" w:rsidR="00BE5437" w:rsidRPr="00C15D1A" w:rsidRDefault="00BE5437" w:rsidP="00A11054">
      <w:pPr>
        <w:spacing w:line="276" w:lineRule="auto"/>
        <w:jc w:val="both"/>
        <w:rPr>
          <w:rFonts w:cs="Calibri"/>
          <w:lang w:val="es-CO"/>
        </w:rPr>
      </w:pPr>
      <w:r>
        <w:t>La supervisión del trabajo y la aprobación de productos será realizada de forma conjunta por Expertise France y el MAG–SFE, siguiendo el procedimiento de revisión acordado en la Actividad 1.</w:t>
      </w:r>
    </w:p>
    <w:p w14:paraId="23D540DE" w14:textId="1F3E2F7B" w:rsidR="00BE5437" w:rsidRPr="0053584A" w:rsidRDefault="00817F78" w:rsidP="00A11054">
      <w:pPr>
        <w:pStyle w:val="Titre2"/>
        <w:keepLines/>
        <w:widowControl/>
        <w:numPr>
          <w:ilvl w:val="1"/>
          <w:numId w:val="0"/>
        </w:numPr>
        <w:spacing w:before="240" w:after="240" w:line="276" w:lineRule="auto"/>
        <w:ind w:left="578" w:hanging="578"/>
        <w:jc w:val="both"/>
        <w:rPr>
          <w:color w:val="002060"/>
          <w:sz w:val="22"/>
          <w:szCs w:val="22"/>
          <w:lang w:val="es-CO"/>
        </w:rPr>
      </w:pPr>
      <w:bookmarkStart w:id="12" w:name="_Toc179973790"/>
      <w:r>
        <w:rPr>
          <w:color w:val="002060"/>
          <w:sz w:val="22"/>
          <w:szCs w:val="22"/>
          <w:lang w:val="es-CO"/>
        </w:rPr>
        <w:lastRenderedPageBreak/>
        <w:t>7</w:t>
      </w:r>
      <w:r w:rsidR="000E4991" w:rsidRPr="0053584A">
        <w:rPr>
          <w:color w:val="002060"/>
          <w:sz w:val="22"/>
          <w:szCs w:val="22"/>
          <w:lang w:val="es-CO"/>
        </w:rPr>
        <w:t>.2</w:t>
      </w:r>
      <w:r w:rsidR="000E4991" w:rsidRPr="0053584A">
        <w:rPr>
          <w:color w:val="002060"/>
          <w:sz w:val="22"/>
          <w:szCs w:val="22"/>
          <w:lang w:val="es-CO"/>
        </w:rPr>
        <w:tab/>
      </w:r>
      <w:r w:rsidR="00BE5437" w:rsidRPr="0053584A">
        <w:rPr>
          <w:color w:val="002060"/>
          <w:sz w:val="22"/>
          <w:szCs w:val="22"/>
          <w:lang w:val="es-CO"/>
        </w:rPr>
        <w:t>Otras informaciones</w:t>
      </w:r>
      <w:bookmarkEnd w:id="12"/>
    </w:p>
    <w:p w14:paraId="4726392C" w14:textId="0CED2B5C" w:rsidR="00BE5437" w:rsidRPr="00F746A2" w:rsidRDefault="00BE5437" w:rsidP="00F746A2">
      <w:pPr>
        <w:jc w:val="both"/>
        <w:rPr>
          <w:iCs/>
        </w:rPr>
      </w:pPr>
      <w:r w:rsidRPr="00F746A2">
        <w:rPr>
          <w:iCs/>
        </w:rPr>
        <w:t>La misión se desarrollará mediante trabajo remoto y reuniones presenciales o virtuales con MAG–SFE y Expertise France. Se prevén actividades de campo en los territorios y cadenas de valor priorizadas para la implementación del piloto blended, así como jornadas de transferencia para administradores y personal técnico del SFE.</w:t>
      </w:r>
    </w:p>
    <w:p w14:paraId="206C337D" w14:textId="669032AF" w:rsidR="008D4CE8" w:rsidRDefault="008D4CE8" w:rsidP="0087163E">
      <w:pPr>
        <w:pStyle w:val="Titre2"/>
        <w:numPr>
          <w:ilvl w:val="0"/>
          <w:numId w:val="25"/>
        </w:numPr>
        <w:jc w:val="both"/>
        <w:rPr>
          <w:sz w:val="22"/>
          <w:szCs w:val="24"/>
        </w:rPr>
      </w:pPr>
      <w:r w:rsidRPr="00600B4E">
        <w:rPr>
          <w:sz w:val="22"/>
          <w:szCs w:val="24"/>
        </w:rPr>
        <w:t>Perfiles y conocimientos técnicos requeridos</w:t>
      </w:r>
      <w:r w:rsidR="00817F78">
        <w:rPr>
          <w:sz w:val="22"/>
          <w:szCs w:val="24"/>
        </w:rPr>
        <w:t>:</w:t>
      </w:r>
    </w:p>
    <w:p w14:paraId="72000877" w14:textId="77777777" w:rsidR="00BE5437" w:rsidRPr="00C15D1A" w:rsidRDefault="00BE5437" w:rsidP="00A11054">
      <w:pPr>
        <w:autoSpaceDE w:val="0"/>
        <w:autoSpaceDN w:val="0"/>
        <w:adjustRightInd w:val="0"/>
        <w:spacing w:after="0" w:line="276" w:lineRule="auto"/>
        <w:jc w:val="both"/>
        <w:rPr>
          <w:rFonts w:eastAsia="Calibri" w:cs="Calibri"/>
          <w:color w:val="000000"/>
          <w:lang w:val="es-CO"/>
        </w:rPr>
      </w:pPr>
      <w:bookmarkStart w:id="13" w:name="_Toc52213336"/>
      <w:bookmarkStart w:id="14" w:name="_Toc52213337"/>
      <w:bookmarkStart w:id="15" w:name="_Toc52213338"/>
      <w:bookmarkStart w:id="16" w:name="_Toc52213339"/>
      <w:bookmarkStart w:id="17" w:name="_Toc52213340"/>
      <w:bookmarkStart w:id="18" w:name="_Toc52213341"/>
      <w:bookmarkStart w:id="19" w:name="_Toc52213342"/>
      <w:bookmarkStart w:id="20" w:name="_Toc52213343"/>
      <w:bookmarkStart w:id="21" w:name="_Toc52213344"/>
      <w:bookmarkStart w:id="22" w:name="_Toc52213345"/>
      <w:bookmarkStart w:id="23" w:name="_Toc52213346"/>
      <w:bookmarkStart w:id="24" w:name="_Toc52213347"/>
      <w:bookmarkStart w:id="25" w:name="_Toc52213348"/>
      <w:bookmarkStart w:id="26" w:name="_Toc52213349"/>
      <w:bookmarkStart w:id="27" w:name="_Toc52213350"/>
      <w:bookmarkStart w:id="28" w:name="_Toc52213351"/>
      <w:bookmarkStart w:id="29" w:name="_Toc52213352"/>
      <w:bookmarkStart w:id="30" w:name="_Toc52213353"/>
      <w:bookmarkStart w:id="31" w:name="_Toc52213354"/>
      <w:bookmarkStart w:id="32" w:name="_Toc52213355"/>
      <w:bookmarkStart w:id="33" w:name="_Toc52213356"/>
      <w:bookmarkStart w:id="34" w:name="_Toc52213357"/>
      <w:bookmarkStart w:id="35" w:name="_Toc52213358"/>
      <w:bookmarkStart w:id="36" w:name="_Toc52213359"/>
      <w:bookmarkStart w:id="37" w:name="_Toc52213360"/>
      <w:bookmarkStart w:id="38" w:name="_Toc52213361"/>
      <w:bookmarkStart w:id="39" w:name="_Toc52213362"/>
      <w:bookmarkStart w:id="40" w:name="_Toc52213363"/>
      <w:bookmarkStart w:id="41" w:name="_Toc52213364"/>
      <w:bookmarkStart w:id="42" w:name="_Toc52213365"/>
      <w:bookmarkStart w:id="43" w:name="_Toc52213366"/>
      <w:bookmarkStart w:id="44" w:name="_Toc52213367"/>
      <w:bookmarkStart w:id="45" w:name="_Toc52213368"/>
      <w:bookmarkStart w:id="46" w:name="_Toc52213369"/>
      <w:bookmarkStart w:id="47" w:name="_Toc52213370"/>
      <w:bookmarkStart w:id="48" w:name="_Toc52213371"/>
      <w:bookmarkStart w:id="49" w:name="_Toc52213372"/>
      <w:bookmarkStart w:id="50" w:name="_Toc52213373"/>
      <w:bookmarkStart w:id="51" w:name="_Toc52213374"/>
      <w:bookmarkStart w:id="52" w:name="_Toc52213375"/>
      <w:bookmarkStart w:id="53" w:name="_Toc52213376"/>
      <w:bookmarkStart w:id="54" w:name="_Toc52213377"/>
      <w:bookmarkStart w:id="55" w:name="_Toc52213378"/>
      <w:bookmarkStart w:id="56" w:name="_Toc5221345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651B711" w14:textId="72DD5770" w:rsidR="001A3BE4" w:rsidRDefault="00817F78" w:rsidP="00A11054">
      <w:pPr>
        <w:pStyle w:val="Titre2"/>
        <w:keepLines/>
        <w:widowControl/>
        <w:numPr>
          <w:ilvl w:val="1"/>
          <w:numId w:val="0"/>
        </w:numPr>
        <w:spacing w:after="240" w:line="276" w:lineRule="auto"/>
        <w:ind w:left="576" w:hanging="576"/>
        <w:jc w:val="both"/>
        <w:rPr>
          <w:rStyle w:val="Accentuation"/>
          <w:i w:val="0"/>
          <w:iCs w:val="0"/>
          <w:color w:val="002060"/>
          <w:sz w:val="22"/>
          <w:szCs w:val="22"/>
          <w:lang w:val="es-CO"/>
        </w:rPr>
      </w:pPr>
      <w:bookmarkStart w:id="57" w:name="_Toc179973792"/>
      <w:r>
        <w:rPr>
          <w:rStyle w:val="Accentuation"/>
          <w:i w:val="0"/>
          <w:iCs w:val="0"/>
          <w:color w:val="002060"/>
          <w:sz w:val="22"/>
          <w:szCs w:val="22"/>
          <w:lang w:val="es-CO"/>
        </w:rPr>
        <w:t>8</w:t>
      </w:r>
      <w:r w:rsidR="001A3BE4">
        <w:rPr>
          <w:rStyle w:val="Accentuation"/>
          <w:i w:val="0"/>
          <w:iCs w:val="0"/>
          <w:color w:val="002060"/>
          <w:sz w:val="22"/>
          <w:szCs w:val="22"/>
          <w:lang w:val="es-CO"/>
        </w:rPr>
        <w:t>.1</w:t>
      </w:r>
      <w:r w:rsidR="001A3BE4">
        <w:rPr>
          <w:rStyle w:val="Accentuation"/>
          <w:i w:val="0"/>
          <w:iCs w:val="0"/>
          <w:color w:val="002060"/>
          <w:sz w:val="22"/>
          <w:szCs w:val="22"/>
          <w:lang w:val="es-CO"/>
        </w:rPr>
        <w:tab/>
      </w:r>
      <w:r w:rsidR="00BE5437" w:rsidRPr="00600B4E">
        <w:rPr>
          <w:rStyle w:val="Accentuation"/>
          <w:i w:val="0"/>
          <w:iCs w:val="0"/>
          <w:color w:val="002060"/>
          <w:sz w:val="22"/>
          <w:szCs w:val="22"/>
          <w:lang w:val="es-CO"/>
        </w:rPr>
        <w:t>Calificaciones y experiencia específica de los expertos técnicos</w:t>
      </w:r>
      <w:bookmarkEnd w:id="57"/>
      <w:r>
        <w:rPr>
          <w:rStyle w:val="Accentuation"/>
          <w:i w:val="0"/>
          <w:iCs w:val="0"/>
          <w:color w:val="002060"/>
          <w:sz w:val="22"/>
          <w:szCs w:val="22"/>
          <w:lang w:val="es-CO"/>
        </w:rPr>
        <w:t>.</w:t>
      </w:r>
    </w:p>
    <w:p w14:paraId="7ACE696B" w14:textId="6E86F266" w:rsidR="00EF0E2E" w:rsidRPr="00472CB8" w:rsidRDefault="00BE5437" w:rsidP="00472CB8">
      <w:pPr>
        <w:jc w:val="both"/>
        <w:rPr>
          <w:iCs/>
        </w:rPr>
      </w:pPr>
      <w:r w:rsidRPr="00472CB8">
        <w:rPr>
          <w:iCs/>
        </w:rPr>
        <w:t xml:space="preserve">El equipo de trabajo deberá contar, como mínimo, con los siguientes perfiles profesionales a lo largo de la implementación. Se distinguen perfiles obligatorios y perfiles combinables, admitiéndose que una misma persona cubra más de un rol únicamente cuando se demuestre experiencia suficiente y una distribución clara </w:t>
      </w:r>
      <w:r w:rsidR="00EF0E2E" w:rsidRPr="00472CB8">
        <w:rPr>
          <w:iCs/>
        </w:rPr>
        <w:t>de responsabilidades</w:t>
      </w:r>
    </w:p>
    <w:p w14:paraId="0852D311" w14:textId="53CAB2C4" w:rsidR="00BE5437" w:rsidRPr="00472160" w:rsidRDefault="009175F3" w:rsidP="00A35115">
      <w:pPr>
        <w:pStyle w:val="Paragraphedeliste"/>
        <w:numPr>
          <w:ilvl w:val="0"/>
          <w:numId w:val="27"/>
        </w:numPr>
        <w:jc w:val="both"/>
        <w:rPr>
          <w:iCs/>
        </w:rPr>
      </w:pPr>
      <w:proofErr w:type="gramStart"/>
      <w:r>
        <w:rPr>
          <w:iCs/>
        </w:rPr>
        <w:t>U</w:t>
      </w:r>
      <w:r w:rsidR="00BE5437" w:rsidRPr="00472160">
        <w:rPr>
          <w:iCs/>
        </w:rPr>
        <w:t>n/</w:t>
      </w:r>
      <w:proofErr w:type="gramEnd"/>
      <w:r w:rsidR="00BE5437" w:rsidRPr="00472160">
        <w:rPr>
          <w:iCs/>
        </w:rPr>
        <w:t xml:space="preserve">a (1) </w:t>
      </w:r>
      <w:proofErr w:type="spellStart"/>
      <w:r w:rsidR="00BE5437" w:rsidRPr="00472160">
        <w:rPr>
          <w:iCs/>
        </w:rPr>
        <w:t>coordinador</w:t>
      </w:r>
      <w:proofErr w:type="spellEnd"/>
      <w:r w:rsidR="00BE5437" w:rsidRPr="00472160">
        <w:rPr>
          <w:iCs/>
        </w:rPr>
        <w:t>/a de proyecto.</w:t>
      </w:r>
    </w:p>
    <w:p w14:paraId="6C77D950" w14:textId="1F39F994" w:rsidR="00BE5437" w:rsidRPr="00472160" w:rsidRDefault="009175F3" w:rsidP="00A35115">
      <w:pPr>
        <w:pStyle w:val="Paragraphedeliste"/>
        <w:numPr>
          <w:ilvl w:val="0"/>
          <w:numId w:val="27"/>
        </w:numPr>
        <w:jc w:val="both"/>
        <w:rPr>
          <w:iCs/>
        </w:rPr>
      </w:pPr>
      <w:proofErr w:type="gramStart"/>
      <w:r>
        <w:rPr>
          <w:iCs/>
        </w:rPr>
        <w:t>U</w:t>
      </w:r>
      <w:r w:rsidR="00BE5437" w:rsidRPr="00472160">
        <w:rPr>
          <w:iCs/>
        </w:rPr>
        <w:t>n/</w:t>
      </w:r>
      <w:proofErr w:type="gramEnd"/>
      <w:r w:rsidR="00BE5437" w:rsidRPr="00472160">
        <w:rPr>
          <w:iCs/>
        </w:rPr>
        <w:t xml:space="preserve">a (1) </w:t>
      </w:r>
      <w:proofErr w:type="spellStart"/>
      <w:r w:rsidR="00BE5437" w:rsidRPr="00472160">
        <w:rPr>
          <w:iCs/>
        </w:rPr>
        <w:t>especialista</w:t>
      </w:r>
      <w:proofErr w:type="spellEnd"/>
      <w:r w:rsidR="00BE5437" w:rsidRPr="00472160">
        <w:rPr>
          <w:iCs/>
        </w:rPr>
        <w:t xml:space="preserve"> </w:t>
      </w:r>
      <w:proofErr w:type="spellStart"/>
      <w:r w:rsidR="00BE5437" w:rsidRPr="00472160">
        <w:rPr>
          <w:iCs/>
        </w:rPr>
        <w:t>técnico</w:t>
      </w:r>
      <w:proofErr w:type="spellEnd"/>
      <w:r w:rsidR="00BE5437" w:rsidRPr="00472160">
        <w:rPr>
          <w:iCs/>
        </w:rPr>
        <w:t xml:space="preserve"> en BPA/TICO-BPA (inocuidad, agroquímicos y LMR).</w:t>
      </w:r>
    </w:p>
    <w:p w14:paraId="4CD8BD5C" w14:textId="2B603228" w:rsidR="00BE5437" w:rsidRPr="00472160" w:rsidRDefault="009175F3" w:rsidP="00A35115">
      <w:pPr>
        <w:pStyle w:val="Paragraphedeliste"/>
        <w:numPr>
          <w:ilvl w:val="0"/>
          <w:numId w:val="27"/>
        </w:numPr>
        <w:jc w:val="both"/>
        <w:rPr>
          <w:iCs/>
        </w:rPr>
      </w:pPr>
      <w:proofErr w:type="gramStart"/>
      <w:r>
        <w:rPr>
          <w:iCs/>
        </w:rPr>
        <w:t>U</w:t>
      </w:r>
      <w:r w:rsidR="00BE5437" w:rsidRPr="00472160">
        <w:rPr>
          <w:iCs/>
        </w:rPr>
        <w:t>n/</w:t>
      </w:r>
      <w:proofErr w:type="gramEnd"/>
      <w:r w:rsidR="00BE5437" w:rsidRPr="00472160">
        <w:rPr>
          <w:iCs/>
        </w:rPr>
        <w:t xml:space="preserve">a (1) </w:t>
      </w:r>
      <w:proofErr w:type="spellStart"/>
      <w:r w:rsidR="00BE5437" w:rsidRPr="00472160">
        <w:rPr>
          <w:iCs/>
        </w:rPr>
        <w:t>diseñador</w:t>
      </w:r>
      <w:proofErr w:type="spellEnd"/>
      <w:r w:rsidR="00BE5437" w:rsidRPr="00472160">
        <w:rPr>
          <w:iCs/>
        </w:rPr>
        <w:t xml:space="preserve">/a </w:t>
      </w:r>
      <w:proofErr w:type="spellStart"/>
      <w:r w:rsidR="00BE5437" w:rsidRPr="00472160">
        <w:rPr>
          <w:iCs/>
        </w:rPr>
        <w:t>instruccional</w:t>
      </w:r>
      <w:proofErr w:type="spellEnd"/>
      <w:r w:rsidR="00BE5437" w:rsidRPr="00472160">
        <w:rPr>
          <w:iCs/>
        </w:rPr>
        <w:t xml:space="preserve"> y especialista en mediación pedagógica/e-learning.</w:t>
      </w:r>
    </w:p>
    <w:p w14:paraId="31E55075" w14:textId="7EF8F184" w:rsidR="00BE5437" w:rsidRPr="00472160" w:rsidRDefault="009175F3" w:rsidP="00A35115">
      <w:pPr>
        <w:pStyle w:val="Paragraphedeliste"/>
        <w:numPr>
          <w:ilvl w:val="0"/>
          <w:numId w:val="27"/>
        </w:numPr>
        <w:jc w:val="both"/>
        <w:rPr>
          <w:iCs/>
        </w:rPr>
      </w:pPr>
      <w:proofErr w:type="gramStart"/>
      <w:r>
        <w:rPr>
          <w:iCs/>
        </w:rPr>
        <w:t>U</w:t>
      </w:r>
      <w:r w:rsidR="00BE5437" w:rsidRPr="00472160">
        <w:rPr>
          <w:iCs/>
        </w:rPr>
        <w:t>n/</w:t>
      </w:r>
      <w:proofErr w:type="gramEnd"/>
      <w:r w:rsidR="00BE5437" w:rsidRPr="00472160">
        <w:rPr>
          <w:iCs/>
        </w:rPr>
        <w:t xml:space="preserve">a (1) </w:t>
      </w:r>
      <w:proofErr w:type="spellStart"/>
      <w:r w:rsidR="00BE5437" w:rsidRPr="00472160">
        <w:rPr>
          <w:iCs/>
        </w:rPr>
        <w:t>especialista</w:t>
      </w:r>
      <w:proofErr w:type="spellEnd"/>
      <w:r w:rsidR="00BE5437" w:rsidRPr="00472160">
        <w:rPr>
          <w:iCs/>
        </w:rPr>
        <w:t xml:space="preserve"> </w:t>
      </w:r>
      <w:proofErr w:type="spellStart"/>
      <w:r w:rsidR="00BE5437" w:rsidRPr="00472160">
        <w:rPr>
          <w:iCs/>
        </w:rPr>
        <w:t>técnico</w:t>
      </w:r>
      <w:proofErr w:type="spellEnd"/>
      <w:r w:rsidR="00BE5437" w:rsidRPr="00472160">
        <w:rPr>
          <w:iCs/>
        </w:rPr>
        <w:t xml:space="preserve"> en plataforma LMS (configuración, desarrollo, mantenimiento y analítica de aprendizaje).</w:t>
      </w:r>
      <w:bookmarkStart w:id="58" w:name="_GoBack"/>
      <w:bookmarkEnd w:id="58"/>
    </w:p>
    <w:p w14:paraId="208F0E5C" w14:textId="06DA1B3D" w:rsidR="00C835A0" w:rsidRPr="00472CB8" w:rsidRDefault="009175F3" w:rsidP="00A35115">
      <w:pPr>
        <w:pStyle w:val="Paragraphedeliste"/>
        <w:numPr>
          <w:ilvl w:val="0"/>
          <w:numId w:val="27"/>
        </w:numPr>
        <w:jc w:val="both"/>
        <w:rPr>
          <w:iCs/>
          <w:lang w:val="es-CR"/>
        </w:rPr>
      </w:pPr>
      <w:r>
        <w:rPr>
          <w:iCs/>
          <w:lang w:val="es-CR"/>
        </w:rPr>
        <w:t>U</w:t>
      </w:r>
      <w:r w:rsidR="006A7954" w:rsidRPr="00472CB8">
        <w:rPr>
          <w:iCs/>
          <w:lang w:val="es-CR"/>
        </w:rPr>
        <w:t>n/a (1) especialista en extensión y pilotos de campo (facilitación con productores y organizaciones).</w:t>
      </w:r>
    </w:p>
    <w:p w14:paraId="2B269C44" w14:textId="5B59A9EA" w:rsidR="00C835A0" w:rsidRDefault="009175F3" w:rsidP="00A35115">
      <w:pPr>
        <w:pStyle w:val="Paragraphedeliste"/>
        <w:numPr>
          <w:ilvl w:val="0"/>
          <w:numId w:val="27"/>
        </w:numPr>
        <w:jc w:val="both"/>
        <w:rPr>
          <w:iCs/>
          <w:lang w:val="es-CR"/>
        </w:rPr>
      </w:pPr>
      <w:r>
        <w:rPr>
          <w:iCs/>
          <w:lang w:val="es-CR"/>
        </w:rPr>
        <w:t>U</w:t>
      </w:r>
      <w:r w:rsidR="006A7954" w:rsidRPr="00472CB8">
        <w:rPr>
          <w:iCs/>
          <w:lang w:val="es-CR"/>
        </w:rPr>
        <w:t>n/a (1) especialista en monitoreo y evaluación (M&amp;E) y gestión de datos.</w:t>
      </w:r>
    </w:p>
    <w:p w14:paraId="2C670838" w14:textId="77777777" w:rsidR="00817F78" w:rsidRPr="00472CB8" w:rsidRDefault="00817F78" w:rsidP="00817F78">
      <w:pPr>
        <w:pStyle w:val="Paragraphedeliste"/>
        <w:ind w:left="360"/>
        <w:jc w:val="both"/>
        <w:rPr>
          <w:iCs/>
          <w:lang w:val="es-CR"/>
        </w:rPr>
      </w:pPr>
    </w:p>
    <w:p w14:paraId="218D65CB" w14:textId="52060C66" w:rsidR="00C835A0" w:rsidRDefault="006A7954" w:rsidP="00472CB8">
      <w:pPr>
        <w:jc w:val="both"/>
        <w:rPr>
          <w:i/>
        </w:rPr>
      </w:pPr>
      <w:r w:rsidRPr="00472CB8">
        <w:rPr>
          <w:iCs/>
        </w:rPr>
        <w:t>Se permitirá cierta flexibilidad en la composición del equipo propuesto; sin embargo, la propuesta deberá demostrar colectivamente los requisitos mínimos, una distribución clara de responsabilidades y la capacidad de trabajar con población rural adulta, asegurar calidad técnica, documentar la transferencia institucional y operar en contextos de baja conectividad</w:t>
      </w:r>
      <w:r>
        <w:rPr>
          <w:i/>
        </w:rPr>
        <w:t>.</w:t>
      </w:r>
    </w:p>
    <w:p w14:paraId="4D167467" w14:textId="14AF3CDD" w:rsidR="00817F78" w:rsidRDefault="00817F78" w:rsidP="00472CB8">
      <w:pPr>
        <w:jc w:val="both"/>
      </w:pPr>
      <w:r>
        <w:t xml:space="preserve">Los currículums de los integrantes del equipo deben presentarse bajo el formato de CV de la Unión Europea disponible en </w:t>
      </w:r>
      <w:hyperlink r:id="rId9" w:history="1">
        <w:r w:rsidRPr="006D2EA5">
          <w:rPr>
            <w:rStyle w:val="Lienhypertexte"/>
          </w:rPr>
          <w:t>https://europass.europa.eu/es/create-europass-cv</w:t>
        </w:r>
      </w:hyperlink>
      <w:r>
        <w:t>.</w:t>
      </w:r>
    </w:p>
    <w:p w14:paraId="4886F371" w14:textId="42D8D701" w:rsidR="00C835A0" w:rsidRPr="00A11054" w:rsidRDefault="00817F78" w:rsidP="00A11054">
      <w:pPr>
        <w:jc w:val="both"/>
        <w:rPr>
          <w:b/>
          <w:bCs/>
        </w:rPr>
      </w:pPr>
      <w:r>
        <w:rPr>
          <w:b/>
          <w:bCs/>
        </w:rPr>
        <w:t>8.</w:t>
      </w:r>
      <w:r w:rsidR="006A7954" w:rsidRPr="00A11054">
        <w:rPr>
          <w:b/>
          <w:bCs/>
        </w:rPr>
        <w:t>1.1</w:t>
      </w:r>
      <w:r w:rsidR="006A7954" w:rsidRPr="00A11054">
        <w:rPr>
          <w:b/>
          <w:bCs/>
        </w:rPr>
        <w:tab/>
        <w:t>Coordinador/a de proyecto</w:t>
      </w:r>
      <w:r w:rsidR="00D51FD2">
        <w:rPr>
          <w:b/>
          <w:bCs/>
        </w:rPr>
        <w:t>:</w:t>
      </w:r>
    </w:p>
    <w:p w14:paraId="7C360698" w14:textId="77777777" w:rsidR="00C835A0" w:rsidRDefault="006A7954" w:rsidP="00A11054">
      <w:pPr>
        <w:jc w:val="both"/>
      </w:pPr>
      <w:r>
        <w:t>Deberá garantizar la adecuada implementación de la metodología de trabajo del equipo, el cumplimiento del cronograma y entregables, y el control de calidad de los resultados presentados, asegurando una coordinación fluida con MAG–SFE y Expertise France.</w:t>
      </w:r>
    </w:p>
    <w:p w14:paraId="3FA7FF89" w14:textId="459E0F96" w:rsidR="00BE5437" w:rsidRPr="00C15D1A" w:rsidRDefault="00BE5437" w:rsidP="00A11054">
      <w:pPr>
        <w:spacing w:line="276" w:lineRule="auto"/>
        <w:jc w:val="both"/>
        <w:rPr>
          <w:lang w:val="es-CO"/>
        </w:rPr>
      </w:pPr>
      <w:r>
        <w:t>Experiencia como jefe/a de equipo o coordinador/a de proyectos, preferiblemente en proyectos de capacitación agrícola, inocuidad o transformación digital (e-learning).</w:t>
      </w:r>
    </w:p>
    <w:p w14:paraId="2B031099" w14:textId="77777777" w:rsidR="00BE5437" w:rsidRDefault="007F6B65" w:rsidP="00A11054">
      <w:pPr>
        <w:spacing w:line="276" w:lineRule="auto"/>
        <w:jc w:val="both"/>
        <w:rPr>
          <w:b/>
          <w:bCs/>
          <w:lang w:val="es-419"/>
        </w:rPr>
      </w:pPr>
      <w:r>
        <w:t>Experiencia demostrable en gestión de consultorías con múltiples actores, elaboración de planes de trabajo y cronogramas, y conducción de procesos de validación técnica de productos.</w:t>
      </w:r>
    </w:p>
    <w:p w14:paraId="2FA091A7" w14:textId="3494F4B4" w:rsidR="00BE5437" w:rsidRPr="00C15D1A" w:rsidRDefault="00977048" w:rsidP="00A11054">
      <w:pPr>
        <w:spacing w:line="276" w:lineRule="auto"/>
        <w:jc w:val="both"/>
        <w:rPr>
          <w:b/>
          <w:bCs/>
          <w:lang w:val="es-419"/>
        </w:rPr>
      </w:pPr>
      <w:r>
        <w:t>Experiencia</w:t>
      </w:r>
      <w:r w:rsidR="00BE5437">
        <w:t xml:space="preserve"> en gestión de calidad, riesgos y seguimiento de desempeño (indicadores), y capacidad para traducir requerimientos técnicos en especificaciones operativas para el equipo pedagógico y tecnológico.</w:t>
      </w:r>
    </w:p>
    <w:p w14:paraId="3E0085DD" w14:textId="59CE12C8" w:rsidR="00BE5437" w:rsidRPr="002D4E26" w:rsidRDefault="00B36C10" w:rsidP="002D4E26">
      <w:pPr>
        <w:spacing w:before="240" w:line="276" w:lineRule="auto"/>
        <w:jc w:val="both"/>
        <w:rPr>
          <w:b/>
          <w:bCs/>
          <w:lang w:val="es-419"/>
        </w:rPr>
      </w:pPr>
      <w:r>
        <w:rPr>
          <w:b/>
          <w:bCs/>
        </w:rPr>
        <w:lastRenderedPageBreak/>
        <w:t>8</w:t>
      </w:r>
      <w:r w:rsidR="00BE5437" w:rsidRPr="002D4E26">
        <w:rPr>
          <w:b/>
          <w:bCs/>
        </w:rPr>
        <w:t>.1.2</w:t>
      </w:r>
      <w:r w:rsidR="00BE5437" w:rsidRPr="002D4E26">
        <w:rPr>
          <w:b/>
          <w:bCs/>
        </w:rPr>
        <w:tab/>
        <w:t>Especialista técnico en BPA/TICO-BPA</w:t>
      </w:r>
      <w:r w:rsidR="00D51FD2">
        <w:rPr>
          <w:b/>
          <w:bCs/>
        </w:rPr>
        <w:t>:</w:t>
      </w:r>
    </w:p>
    <w:p w14:paraId="351C5317" w14:textId="03613C5C" w:rsidR="00BE5437" w:rsidRPr="002316E9" w:rsidRDefault="00B36C10" w:rsidP="002316E9">
      <w:pPr>
        <w:pStyle w:val="Paragraphedeliste"/>
        <w:ind w:left="0"/>
        <w:jc w:val="both"/>
        <w:rPr>
          <w:iCs/>
          <w:lang w:val="es-CR"/>
        </w:rPr>
      </w:pPr>
      <w:r>
        <w:rPr>
          <w:iCs/>
          <w:lang w:val="es-CR"/>
        </w:rPr>
        <w:t xml:space="preserve">Profesional en ingeniería agronómica, ciencias agropecuarias, ciencias naturales o áreas afines con Experiencia </w:t>
      </w:r>
      <w:r w:rsidR="00934465" w:rsidRPr="000F7F69">
        <w:rPr>
          <w:iCs/>
          <w:lang w:val="es-CR"/>
        </w:rPr>
        <w:t>en BPA, inocuidad y gestión de agroquímicos (incluye cumplimiento de LMR), con participación en procesos de capacitación o asesoría a productores, empresas u organizaciones.</w:t>
      </w:r>
    </w:p>
    <w:p w14:paraId="6A1015B9" w14:textId="77777777" w:rsidR="00B36C10" w:rsidRDefault="00B36C10" w:rsidP="002D4E26">
      <w:pPr>
        <w:pStyle w:val="Paragraphedeliste"/>
        <w:ind w:left="0"/>
        <w:jc w:val="both"/>
        <w:rPr>
          <w:lang w:val="es-CR"/>
        </w:rPr>
      </w:pPr>
    </w:p>
    <w:p w14:paraId="1AAC7119" w14:textId="3124C115" w:rsidR="00C835A0" w:rsidRPr="00F87184" w:rsidRDefault="006A7954" w:rsidP="002D4E26">
      <w:pPr>
        <w:pStyle w:val="Paragraphedeliste"/>
        <w:ind w:left="0"/>
        <w:jc w:val="both"/>
        <w:rPr>
          <w:lang w:val="es-CR"/>
        </w:rPr>
      </w:pPr>
      <w:r w:rsidRPr="00F87184">
        <w:rPr>
          <w:lang w:val="es-CR"/>
        </w:rPr>
        <w:t>Conocimiento del marco institucional y técnico del MAG–SFE y del Programa TICO-BPA (o esquemas equivalentes), así como de requerimientos de mercados (tanto nacionales como de exportación) vinculados a trazabilidad e inocuidad.</w:t>
      </w:r>
    </w:p>
    <w:p w14:paraId="1B5DE2E2" w14:textId="77777777" w:rsidR="00B36C10" w:rsidRDefault="00B36C10" w:rsidP="002316E9">
      <w:pPr>
        <w:pStyle w:val="Paragraphedeliste"/>
        <w:ind w:left="0"/>
        <w:jc w:val="both"/>
        <w:rPr>
          <w:iCs/>
          <w:lang w:val="es-CR"/>
        </w:rPr>
      </w:pPr>
    </w:p>
    <w:p w14:paraId="3BBB49C5" w14:textId="77777777" w:rsidR="006D263F" w:rsidRDefault="006A7954" w:rsidP="002316E9">
      <w:pPr>
        <w:pStyle w:val="Paragraphedeliste"/>
        <w:ind w:left="0"/>
        <w:jc w:val="both"/>
        <w:rPr>
          <w:iCs/>
          <w:lang w:val="es-CR"/>
        </w:rPr>
      </w:pPr>
      <w:r w:rsidRPr="000F7F69">
        <w:rPr>
          <w:iCs/>
          <w:lang w:val="es-CR"/>
        </w:rPr>
        <w:t xml:space="preserve">Capacidad para validar contenidos técnicos, casos prácticos y guías de campo para las cadenas de valor priorizadas, incorporando cuando corresponda enfoque de cero deforestación y adaptación climática. </w:t>
      </w:r>
    </w:p>
    <w:p w14:paraId="0DC6AF7F" w14:textId="77777777" w:rsidR="006D263F" w:rsidRDefault="006D263F" w:rsidP="002316E9">
      <w:pPr>
        <w:pStyle w:val="Paragraphedeliste"/>
        <w:ind w:left="0"/>
        <w:jc w:val="both"/>
        <w:rPr>
          <w:iCs/>
          <w:lang w:val="es-CR"/>
        </w:rPr>
      </w:pPr>
    </w:p>
    <w:p w14:paraId="647B9A75" w14:textId="30670633" w:rsidR="00C835A0" w:rsidRPr="000F7F69" w:rsidRDefault="006D263F" w:rsidP="002316E9">
      <w:pPr>
        <w:pStyle w:val="Paragraphedeliste"/>
        <w:ind w:left="0"/>
        <w:jc w:val="both"/>
        <w:rPr>
          <w:iCs/>
          <w:lang w:val="es-CR"/>
        </w:rPr>
      </w:pPr>
      <w:r>
        <w:rPr>
          <w:iCs/>
          <w:lang w:val="es-CR"/>
        </w:rPr>
        <w:t>C</w:t>
      </w:r>
      <w:r w:rsidR="006A7954" w:rsidRPr="000F7F69">
        <w:rPr>
          <w:iCs/>
          <w:lang w:val="es-CR"/>
        </w:rPr>
        <w:t>apacidad para traducir contenidos complejos a lenguaje claro, facilitar procesos de capacitación con personas productoras y trabajar en equipos multidisciplinarios en contextos rurales.</w:t>
      </w:r>
    </w:p>
    <w:p w14:paraId="74E15431" w14:textId="77777777" w:rsidR="002D4E26" w:rsidRPr="00F87184" w:rsidRDefault="002D4E26" w:rsidP="002D4E26">
      <w:pPr>
        <w:pStyle w:val="Paragraphedeliste"/>
        <w:ind w:left="0"/>
        <w:jc w:val="both"/>
        <w:rPr>
          <w:lang w:val="es-CR"/>
        </w:rPr>
      </w:pPr>
    </w:p>
    <w:p w14:paraId="0367C5E7" w14:textId="3DC41CD1" w:rsidR="00C835A0" w:rsidRPr="002D4E26" w:rsidRDefault="00B36C10" w:rsidP="002D4E26">
      <w:pPr>
        <w:jc w:val="both"/>
        <w:rPr>
          <w:b/>
          <w:bCs/>
        </w:rPr>
      </w:pPr>
      <w:r>
        <w:rPr>
          <w:b/>
          <w:bCs/>
        </w:rPr>
        <w:t>8</w:t>
      </w:r>
      <w:r w:rsidR="006A7954" w:rsidRPr="002D4E26">
        <w:rPr>
          <w:b/>
          <w:bCs/>
        </w:rPr>
        <w:t>.1.3</w:t>
      </w:r>
      <w:r w:rsidR="006A7954" w:rsidRPr="002D4E26">
        <w:rPr>
          <w:b/>
          <w:bCs/>
        </w:rPr>
        <w:tab/>
        <w:t>Especialista en diseño instruccional y plataforma e-learning (LMS)</w:t>
      </w:r>
      <w:r w:rsidR="00D51FD2">
        <w:rPr>
          <w:b/>
          <w:bCs/>
        </w:rPr>
        <w:t>:</w:t>
      </w:r>
    </w:p>
    <w:p w14:paraId="00C460FC" w14:textId="77777777" w:rsidR="006D263F" w:rsidRDefault="00B36C10" w:rsidP="00EE1384">
      <w:pPr>
        <w:pStyle w:val="Paragraphedeliste"/>
        <w:ind w:left="0"/>
        <w:jc w:val="both"/>
        <w:rPr>
          <w:iCs/>
          <w:lang w:val="es-CR"/>
        </w:rPr>
      </w:pPr>
      <w:r>
        <w:rPr>
          <w:iCs/>
          <w:lang w:val="es-CR"/>
        </w:rPr>
        <w:t>Profesional ingeniero de</w:t>
      </w:r>
      <w:r w:rsidR="006D263F">
        <w:rPr>
          <w:iCs/>
          <w:lang w:val="es-CR"/>
        </w:rPr>
        <w:t xml:space="preserve"> sistemas o ciencias afines.</w:t>
      </w:r>
    </w:p>
    <w:p w14:paraId="498D938A" w14:textId="77777777" w:rsidR="006D263F" w:rsidRDefault="006D263F" w:rsidP="00EE1384">
      <w:pPr>
        <w:pStyle w:val="Paragraphedeliste"/>
        <w:ind w:left="0"/>
        <w:jc w:val="both"/>
        <w:rPr>
          <w:iCs/>
          <w:lang w:val="es-CR"/>
        </w:rPr>
      </w:pPr>
    </w:p>
    <w:p w14:paraId="3F1FEA30" w14:textId="16EA33DB" w:rsidR="00C835A0" w:rsidRPr="00EE1384" w:rsidRDefault="006D263F" w:rsidP="00EE1384">
      <w:pPr>
        <w:pStyle w:val="Paragraphedeliste"/>
        <w:ind w:left="0"/>
        <w:jc w:val="both"/>
        <w:rPr>
          <w:iCs/>
          <w:lang w:val="es-CR"/>
        </w:rPr>
      </w:pPr>
      <w:r>
        <w:rPr>
          <w:iCs/>
          <w:lang w:val="es-CR"/>
        </w:rPr>
        <w:t>E</w:t>
      </w:r>
      <w:r w:rsidR="00B36C10">
        <w:rPr>
          <w:iCs/>
          <w:lang w:val="es-CR"/>
        </w:rPr>
        <w:t xml:space="preserve">xperiencia </w:t>
      </w:r>
      <w:r w:rsidR="006A7954" w:rsidRPr="00EE1384">
        <w:rPr>
          <w:iCs/>
          <w:lang w:val="es-CR"/>
        </w:rPr>
        <w:t>en diseño instruccional y/o implementación de plataformas e-learning (LMS</w:t>
      </w:r>
      <w:r w:rsidR="00D91258" w:rsidRPr="00EE1384">
        <w:rPr>
          <w:iCs/>
          <w:lang w:val="es-CR"/>
        </w:rPr>
        <w:t xml:space="preserve"> preferiblemente con xAPI</w:t>
      </w:r>
      <w:r w:rsidR="006A7954" w:rsidRPr="00EE1384">
        <w:rPr>
          <w:iCs/>
          <w:lang w:val="es-CR"/>
        </w:rPr>
        <w:t>), con producción de cursos asincrónicos, diseño andragógico, evaluación de aprendizajes y creación de experiencias pedagógicas comprensibles para personas adultas usuarias.</w:t>
      </w:r>
    </w:p>
    <w:p w14:paraId="157CB874" w14:textId="77777777" w:rsidR="00B36C10" w:rsidRDefault="00B36C10" w:rsidP="00EE1384">
      <w:pPr>
        <w:pStyle w:val="Paragraphedeliste"/>
        <w:ind w:left="0"/>
        <w:jc w:val="both"/>
        <w:rPr>
          <w:iCs/>
          <w:lang w:val="es-CR"/>
        </w:rPr>
      </w:pPr>
    </w:p>
    <w:p w14:paraId="466800EA" w14:textId="258FB76E" w:rsidR="00C835A0" w:rsidRPr="00EE1384" w:rsidRDefault="006A7954" w:rsidP="00EE1384">
      <w:pPr>
        <w:pStyle w:val="Paragraphedeliste"/>
        <w:ind w:left="0"/>
        <w:jc w:val="both"/>
        <w:rPr>
          <w:iCs/>
          <w:lang w:val="es-CR"/>
        </w:rPr>
      </w:pPr>
      <w:r w:rsidRPr="00EE1384">
        <w:rPr>
          <w:iCs/>
          <w:lang w:val="es-CR"/>
        </w:rPr>
        <w:t>Experiencia en configuración y administración de LMS (por ejemplo, Moodle u otros), analítica de aprendizaje, diseño responsivo, accesibilidad y despliegues para contextos de baja conectividad, así como en estructuración de tableros, perfiles de usuario y mantenimiento institucional.</w:t>
      </w:r>
    </w:p>
    <w:p w14:paraId="013C93E7" w14:textId="77777777" w:rsidR="00B36C10" w:rsidRDefault="00B36C10" w:rsidP="002D4E26">
      <w:pPr>
        <w:pStyle w:val="Paragraphedeliste"/>
        <w:ind w:left="0"/>
        <w:jc w:val="both"/>
        <w:rPr>
          <w:lang w:val="es-CR"/>
        </w:rPr>
      </w:pPr>
    </w:p>
    <w:p w14:paraId="1EF7E3CE" w14:textId="625A9885" w:rsidR="00BE5437" w:rsidRDefault="006A7954" w:rsidP="002D4E26">
      <w:pPr>
        <w:pStyle w:val="Paragraphedeliste"/>
        <w:ind w:left="0"/>
        <w:jc w:val="both"/>
        <w:rPr>
          <w:lang w:val="es-ES"/>
        </w:rPr>
      </w:pPr>
      <w:r w:rsidRPr="00F87184">
        <w:rPr>
          <w:lang w:val="es-CR"/>
        </w:rPr>
        <w:t>Capacidad para liderar procesos de QA (pruebas funcionales, rendimiento, seguridad y usabilidad) y documentar manuales de usuario y administración.</w:t>
      </w:r>
    </w:p>
    <w:p w14:paraId="02316CDF" w14:textId="77777777" w:rsidR="00F93AA8" w:rsidRPr="002D4E26" w:rsidRDefault="00F93AA8" w:rsidP="002D4E26">
      <w:pPr>
        <w:pStyle w:val="Paragraphedeliste"/>
        <w:ind w:left="0"/>
        <w:jc w:val="both"/>
        <w:rPr>
          <w:lang w:val="es-CR"/>
        </w:rPr>
      </w:pPr>
    </w:p>
    <w:p w14:paraId="26EB24AA" w14:textId="7DE9755E" w:rsidR="00BE5437" w:rsidRPr="002D4E26" w:rsidRDefault="00B36C10" w:rsidP="00A11054">
      <w:pPr>
        <w:spacing w:before="240" w:line="276" w:lineRule="auto"/>
        <w:jc w:val="both"/>
        <w:rPr>
          <w:b/>
          <w:bCs/>
          <w:lang w:val="es-419"/>
        </w:rPr>
      </w:pPr>
      <w:r>
        <w:rPr>
          <w:b/>
          <w:bCs/>
        </w:rPr>
        <w:t>8</w:t>
      </w:r>
      <w:r w:rsidR="00673A68" w:rsidRPr="002D4E26">
        <w:rPr>
          <w:b/>
          <w:bCs/>
        </w:rPr>
        <w:t>.1.4</w:t>
      </w:r>
      <w:r w:rsidR="00673A68" w:rsidRPr="002D4E26">
        <w:rPr>
          <w:b/>
          <w:bCs/>
        </w:rPr>
        <w:tab/>
        <w:t>Productor/a multimedia</w:t>
      </w:r>
      <w:r w:rsidR="00D51FD2">
        <w:rPr>
          <w:b/>
          <w:bCs/>
        </w:rPr>
        <w:t>:</w:t>
      </w:r>
    </w:p>
    <w:p w14:paraId="23D0CD00" w14:textId="111C8578" w:rsidR="00B36C10" w:rsidRDefault="00B36C10" w:rsidP="001E0921">
      <w:pPr>
        <w:pStyle w:val="Paragraphedeliste"/>
        <w:ind w:left="0"/>
        <w:jc w:val="both"/>
        <w:rPr>
          <w:iCs/>
          <w:lang w:val="es-CR"/>
        </w:rPr>
      </w:pPr>
      <w:r>
        <w:rPr>
          <w:iCs/>
          <w:lang w:val="es-CR"/>
        </w:rPr>
        <w:t xml:space="preserve">Profesional audiovisual con experiencia </w:t>
      </w:r>
      <w:r w:rsidR="00BE5437" w:rsidRPr="001E0921">
        <w:rPr>
          <w:iCs/>
          <w:lang w:val="es-CR"/>
        </w:rPr>
        <w:t>en producción de contenidos educativos digitales (video, animación, infograf</w:t>
      </w:r>
      <w:r>
        <w:rPr>
          <w:iCs/>
          <w:lang w:val="es-CR"/>
        </w:rPr>
        <w:t>ías, edición y postproducción).</w:t>
      </w:r>
    </w:p>
    <w:p w14:paraId="2330CACA" w14:textId="77777777" w:rsidR="00B36C10" w:rsidRDefault="00B36C10" w:rsidP="001E0921">
      <w:pPr>
        <w:pStyle w:val="Paragraphedeliste"/>
        <w:ind w:left="0"/>
        <w:jc w:val="both"/>
        <w:rPr>
          <w:iCs/>
          <w:lang w:val="es-CR"/>
        </w:rPr>
      </w:pPr>
    </w:p>
    <w:p w14:paraId="25EA4488" w14:textId="67D3BF9E" w:rsidR="00BE5437" w:rsidRPr="001E0921" w:rsidRDefault="001E7CA2" w:rsidP="001E0921">
      <w:pPr>
        <w:pStyle w:val="Paragraphedeliste"/>
        <w:ind w:left="0"/>
        <w:jc w:val="both"/>
        <w:rPr>
          <w:iCs/>
          <w:lang w:val="es-CR"/>
        </w:rPr>
      </w:pPr>
      <w:r>
        <w:rPr>
          <w:iCs/>
          <w:lang w:val="es-CR"/>
        </w:rPr>
        <w:t>E</w:t>
      </w:r>
      <w:r w:rsidR="00B36C10">
        <w:rPr>
          <w:iCs/>
          <w:lang w:val="es-CR"/>
        </w:rPr>
        <w:t xml:space="preserve">xperiencia en </w:t>
      </w:r>
      <w:r w:rsidR="00BE5437" w:rsidRPr="001E0921">
        <w:rPr>
          <w:iCs/>
          <w:lang w:val="es-CR"/>
        </w:rPr>
        <w:t>capacitación técnica o agropecuaria, con capacidad para generar materiales claros, livianos y apropiados para consumo móvil.</w:t>
      </w:r>
    </w:p>
    <w:p w14:paraId="2753E6C8" w14:textId="1FA584D9" w:rsidR="00934465" w:rsidRPr="002D4E26" w:rsidRDefault="00B36C10" w:rsidP="00A11054">
      <w:pPr>
        <w:spacing w:before="240" w:line="276" w:lineRule="auto"/>
        <w:jc w:val="both"/>
        <w:rPr>
          <w:b/>
          <w:bCs/>
          <w:lang w:val="es-419"/>
        </w:rPr>
      </w:pPr>
      <w:r>
        <w:rPr>
          <w:b/>
          <w:bCs/>
        </w:rPr>
        <w:t>8</w:t>
      </w:r>
      <w:r w:rsidR="00673A68" w:rsidRPr="002D4E26">
        <w:rPr>
          <w:b/>
          <w:bCs/>
        </w:rPr>
        <w:t>.1.5</w:t>
      </w:r>
      <w:r w:rsidR="00673A68" w:rsidRPr="002D4E26">
        <w:rPr>
          <w:b/>
          <w:bCs/>
        </w:rPr>
        <w:tab/>
        <w:t>Especialista en extensión y pilotos de campo</w:t>
      </w:r>
      <w:r w:rsidR="00D51FD2">
        <w:rPr>
          <w:b/>
          <w:bCs/>
        </w:rPr>
        <w:t>:</w:t>
      </w:r>
    </w:p>
    <w:p w14:paraId="08642CFB" w14:textId="77777777" w:rsidR="001E7CA2" w:rsidRDefault="00B36C10" w:rsidP="00B75C9B">
      <w:pPr>
        <w:jc w:val="both"/>
        <w:rPr>
          <w:iCs/>
        </w:rPr>
      </w:pPr>
      <w:r>
        <w:rPr>
          <w:iCs/>
        </w:rPr>
        <w:t xml:space="preserve">Profesional en ingeniería agronómica, </w:t>
      </w:r>
      <w:r w:rsidR="001E7CA2">
        <w:rPr>
          <w:iCs/>
        </w:rPr>
        <w:t>ciencias naturales o afines.</w:t>
      </w:r>
    </w:p>
    <w:p w14:paraId="6E07E796" w14:textId="77777777" w:rsidR="001E7CA2" w:rsidRDefault="001E7CA2" w:rsidP="00B75C9B">
      <w:pPr>
        <w:jc w:val="both"/>
        <w:rPr>
          <w:iCs/>
        </w:rPr>
      </w:pPr>
      <w:r>
        <w:rPr>
          <w:iCs/>
        </w:rPr>
        <w:t>E</w:t>
      </w:r>
      <w:r w:rsidR="00934465" w:rsidRPr="00B75C9B">
        <w:rPr>
          <w:iCs/>
        </w:rPr>
        <w:t>xperiencia en extensión o agroasistencia técnica y facilitación de procesos de capacitación co</w:t>
      </w:r>
      <w:r>
        <w:rPr>
          <w:iCs/>
        </w:rPr>
        <w:t>n productores y organizaciones.</w:t>
      </w:r>
    </w:p>
    <w:p w14:paraId="58C9442C" w14:textId="3D24CE3D" w:rsidR="00934465" w:rsidRPr="00B75C9B" w:rsidRDefault="001E7CA2" w:rsidP="00B75C9B">
      <w:pPr>
        <w:jc w:val="both"/>
        <w:rPr>
          <w:iCs/>
        </w:rPr>
      </w:pPr>
      <w:r>
        <w:rPr>
          <w:iCs/>
        </w:rPr>
        <w:t>E</w:t>
      </w:r>
      <w:r w:rsidR="00934465" w:rsidRPr="00B75C9B">
        <w:rPr>
          <w:iCs/>
        </w:rPr>
        <w:t>xperiencia en implementación de pilotos y días de campo en cadenas de valor priorizadas, y capacidad para acompañar validaciones prácticas y retroalimentación territorial.</w:t>
      </w:r>
    </w:p>
    <w:p w14:paraId="3C492AB2" w14:textId="6B7B0C9A" w:rsidR="00C835A0" w:rsidRPr="002D4E26" w:rsidRDefault="00B36C10" w:rsidP="00A11054">
      <w:pPr>
        <w:jc w:val="both"/>
        <w:rPr>
          <w:b/>
          <w:bCs/>
        </w:rPr>
      </w:pPr>
      <w:r>
        <w:rPr>
          <w:b/>
          <w:bCs/>
        </w:rPr>
        <w:lastRenderedPageBreak/>
        <w:t>8</w:t>
      </w:r>
      <w:r w:rsidR="006A7954" w:rsidRPr="002D4E26">
        <w:rPr>
          <w:b/>
          <w:bCs/>
        </w:rPr>
        <w:t>.1.6</w:t>
      </w:r>
      <w:r w:rsidR="006A7954" w:rsidRPr="002D4E26">
        <w:rPr>
          <w:b/>
          <w:bCs/>
        </w:rPr>
        <w:tab/>
        <w:t>Especialista en monitoreo y evaluación (M&amp;E) y gestión de datos</w:t>
      </w:r>
      <w:r w:rsidR="00D51FD2">
        <w:rPr>
          <w:b/>
          <w:bCs/>
        </w:rPr>
        <w:t>:</w:t>
      </w:r>
    </w:p>
    <w:p w14:paraId="48C8946F" w14:textId="0FF5602E" w:rsidR="00B36C10" w:rsidRDefault="00B36C10" w:rsidP="00B75C9B">
      <w:pPr>
        <w:pStyle w:val="Paragraphedeliste"/>
        <w:ind w:left="0"/>
        <w:jc w:val="both"/>
        <w:rPr>
          <w:iCs/>
          <w:lang w:val="es-CR"/>
        </w:rPr>
      </w:pPr>
      <w:r>
        <w:rPr>
          <w:iCs/>
          <w:lang w:val="es-CR"/>
        </w:rPr>
        <w:t xml:space="preserve">Profesional de cualquier formación con experiencia </w:t>
      </w:r>
      <w:r w:rsidR="006A7954" w:rsidRPr="00B75C9B">
        <w:rPr>
          <w:iCs/>
          <w:lang w:val="es-CR"/>
        </w:rPr>
        <w:t xml:space="preserve">en diseño de indicadores, monitoreo de procesos de capacitación (participación, aprendizaje, </w:t>
      </w:r>
      <w:r>
        <w:rPr>
          <w:iCs/>
          <w:lang w:val="es-CR"/>
        </w:rPr>
        <w:t>adopción) y análisis de datos.</w:t>
      </w:r>
    </w:p>
    <w:p w14:paraId="4B6BCB42" w14:textId="5B9D9E23" w:rsidR="00B36C10" w:rsidRDefault="00B36C10" w:rsidP="00B75C9B">
      <w:pPr>
        <w:pStyle w:val="Paragraphedeliste"/>
        <w:ind w:left="0"/>
        <w:jc w:val="both"/>
        <w:rPr>
          <w:iCs/>
          <w:lang w:val="es-CR"/>
        </w:rPr>
      </w:pPr>
      <w:r>
        <w:rPr>
          <w:iCs/>
          <w:lang w:val="es-CR"/>
        </w:rPr>
        <w:t xml:space="preserve"> </w:t>
      </w:r>
    </w:p>
    <w:p w14:paraId="5DF7B8EB" w14:textId="38881578" w:rsidR="00C835A0" w:rsidRDefault="00F6682F" w:rsidP="00B75C9B">
      <w:pPr>
        <w:pStyle w:val="Paragraphedeliste"/>
        <w:ind w:left="0"/>
        <w:jc w:val="both"/>
        <w:rPr>
          <w:iCs/>
          <w:lang w:val="es-CR"/>
        </w:rPr>
      </w:pPr>
      <w:r>
        <w:rPr>
          <w:iCs/>
          <w:lang w:val="es-CR"/>
        </w:rPr>
        <w:t>E</w:t>
      </w:r>
      <w:r w:rsidR="006A7954" w:rsidRPr="00B75C9B">
        <w:rPr>
          <w:iCs/>
          <w:lang w:val="es-CR"/>
        </w:rPr>
        <w:t>xperiencia con analítica de plataformas e-learning, segmentación territorial y elaboración de tableros para toma de decisiones.</w:t>
      </w:r>
    </w:p>
    <w:p w14:paraId="177D5C5C" w14:textId="77777777" w:rsidR="00B75C9B" w:rsidRPr="00B75C9B" w:rsidRDefault="00B75C9B" w:rsidP="00B75C9B">
      <w:pPr>
        <w:pStyle w:val="Paragraphedeliste"/>
        <w:ind w:left="0"/>
        <w:jc w:val="both"/>
        <w:rPr>
          <w:iCs/>
          <w:lang w:val="es-CR"/>
        </w:rPr>
      </w:pPr>
    </w:p>
    <w:p w14:paraId="10712DE7" w14:textId="35B7197B" w:rsidR="009E0B1F" w:rsidRPr="00490C29" w:rsidRDefault="009546D7" w:rsidP="0087163E">
      <w:pPr>
        <w:pStyle w:val="Titre2"/>
        <w:numPr>
          <w:ilvl w:val="0"/>
          <w:numId w:val="25"/>
        </w:numPr>
        <w:jc w:val="both"/>
        <w:rPr>
          <w:rStyle w:val="Accentuation"/>
          <w:i w:val="0"/>
          <w:iCs w:val="0"/>
          <w:sz w:val="28"/>
          <w:szCs w:val="32"/>
        </w:rPr>
      </w:pPr>
      <w:bookmarkStart w:id="59" w:name="_Toc179973793"/>
      <w:r w:rsidRPr="00490C29">
        <w:rPr>
          <w:sz w:val="22"/>
          <w:szCs w:val="24"/>
        </w:rPr>
        <w:t>Procedimiento para la presentación de ofertas técnicas y financieras</w:t>
      </w:r>
    </w:p>
    <w:p w14:paraId="60FAC3F1" w14:textId="77777777" w:rsidR="00673A68" w:rsidRPr="00673A68" w:rsidRDefault="00673A68" w:rsidP="00A11054">
      <w:pPr>
        <w:jc w:val="both"/>
        <w:rPr>
          <w:lang w:eastAsia="fr-FR"/>
        </w:rPr>
      </w:pPr>
    </w:p>
    <w:bookmarkEnd w:id="59"/>
    <w:p w14:paraId="0F3BEA44" w14:textId="77777777" w:rsidR="00C94C9F" w:rsidRPr="00C94C9F" w:rsidRDefault="00C94C9F" w:rsidP="00A11054">
      <w:pPr>
        <w:jc w:val="both"/>
        <w:rPr>
          <w:lang w:eastAsia="fr-FR"/>
        </w:rPr>
      </w:pPr>
      <w:r w:rsidRPr="00C94C9F">
        <w:rPr>
          <w:lang w:eastAsia="fr-FR"/>
        </w:rPr>
        <w:t>El Contratante deberá revisar las actividades mínimas requeridas en estos términos de referencia e incluir una propuesta en su oferta.</w:t>
      </w:r>
    </w:p>
    <w:p w14:paraId="0896F3E5" w14:textId="77777777" w:rsidR="00BE5437" w:rsidRPr="00C15D1A" w:rsidRDefault="00BE5437" w:rsidP="00A11054">
      <w:pPr>
        <w:spacing w:line="276" w:lineRule="auto"/>
        <w:jc w:val="both"/>
        <w:rPr>
          <w:color w:val="000000"/>
          <w:lang w:val="es-CO"/>
        </w:rPr>
      </w:pPr>
      <w:r w:rsidRPr="00C15D1A">
        <w:rPr>
          <w:color w:val="000000"/>
          <w:lang w:val="es-CO"/>
        </w:rPr>
        <w:t>Los proveedores interesados en presentar una oferta deberán preparar:</w:t>
      </w:r>
    </w:p>
    <w:p w14:paraId="22174CB8" w14:textId="77777777" w:rsidR="00BE5437" w:rsidRPr="00DC18C7" w:rsidRDefault="00BE5437" w:rsidP="0087163E">
      <w:pPr>
        <w:numPr>
          <w:ilvl w:val="0"/>
          <w:numId w:val="6"/>
        </w:numPr>
        <w:pBdr>
          <w:top w:val="nil"/>
          <w:left w:val="nil"/>
          <w:bottom w:val="nil"/>
          <w:right w:val="nil"/>
          <w:between w:val="nil"/>
        </w:pBdr>
        <w:spacing w:after="0" w:line="276" w:lineRule="auto"/>
        <w:jc w:val="both"/>
        <w:rPr>
          <w:color w:val="000000"/>
          <w:lang w:val="es-ES"/>
        </w:rPr>
      </w:pPr>
      <w:r w:rsidRPr="00DC18C7">
        <w:rPr>
          <w:rFonts w:eastAsia="Calibri" w:cs="Calibri"/>
          <w:color w:val="000000"/>
          <w:lang w:val="es-ES"/>
        </w:rPr>
        <w:t xml:space="preserve">Una propuesta metodológica, </w:t>
      </w:r>
      <w:r>
        <w:rPr>
          <w:rFonts w:eastAsia="Calibri" w:cs="Calibri"/>
          <w:color w:val="000000"/>
          <w:lang w:val="es-ES"/>
        </w:rPr>
        <w:t>con</w:t>
      </w:r>
      <w:r w:rsidRPr="00DC18C7">
        <w:rPr>
          <w:rFonts w:eastAsia="Calibri" w:cs="Calibri"/>
          <w:color w:val="000000"/>
          <w:lang w:val="es-ES"/>
        </w:rPr>
        <w:t xml:space="preserve"> </w:t>
      </w:r>
    </w:p>
    <w:p w14:paraId="72E6EEFB" w14:textId="77777777" w:rsidR="00BE5437" w:rsidRPr="006D2F19" w:rsidRDefault="00BE5437" w:rsidP="0087163E">
      <w:pPr>
        <w:numPr>
          <w:ilvl w:val="1"/>
          <w:numId w:val="6"/>
        </w:numPr>
        <w:pBdr>
          <w:top w:val="nil"/>
          <w:left w:val="nil"/>
          <w:bottom w:val="nil"/>
          <w:right w:val="nil"/>
          <w:between w:val="nil"/>
        </w:pBdr>
        <w:spacing w:after="0" w:line="276" w:lineRule="auto"/>
        <w:jc w:val="both"/>
        <w:rPr>
          <w:color w:val="000000"/>
          <w:lang w:val="es-CO"/>
        </w:rPr>
      </w:pPr>
      <w:r w:rsidRPr="00DC18C7">
        <w:rPr>
          <w:rFonts w:eastAsia="Calibri" w:cs="Calibri"/>
          <w:color w:val="000000"/>
          <w:lang w:val="es-ES"/>
        </w:rPr>
        <w:t xml:space="preserve">Una nota de análisis y comprensión de </w:t>
      </w:r>
      <w:r>
        <w:rPr>
          <w:rFonts w:eastAsia="Calibri" w:cs="Calibri"/>
          <w:color w:val="000000"/>
          <w:lang w:val="es-ES"/>
        </w:rPr>
        <w:t xml:space="preserve">los </w:t>
      </w:r>
      <w:proofErr w:type="spellStart"/>
      <w:r>
        <w:rPr>
          <w:rFonts w:eastAsia="Calibri" w:cs="Calibri"/>
          <w:color w:val="000000"/>
          <w:lang w:val="es-ES"/>
        </w:rPr>
        <w:t>TdR</w:t>
      </w:r>
      <w:proofErr w:type="spellEnd"/>
      <w:r>
        <w:rPr>
          <w:rFonts w:eastAsia="Calibri" w:cs="Calibri"/>
          <w:color w:val="000000"/>
          <w:lang w:val="es-ES"/>
        </w:rPr>
        <w:t>, el contexto y la problemática que se busca tratar,</w:t>
      </w:r>
    </w:p>
    <w:p w14:paraId="206AFF9B" w14:textId="77777777" w:rsidR="00BE5437" w:rsidRPr="006D2F19" w:rsidRDefault="00BE5437" w:rsidP="0087163E">
      <w:pPr>
        <w:numPr>
          <w:ilvl w:val="1"/>
          <w:numId w:val="6"/>
        </w:numPr>
        <w:pBdr>
          <w:top w:val="nil"/>
          <w:left w:val="nil"/>
          <w:bottom w:val="nil"/>
          <w:right w:val="nil"/>
          <w:between w:val="nil"/>
        </w:pBdr>
        <w:spacing w:after="0" w:line="276" w:lineRule="auto"/>
        <w:jc w:val="both"/>
        <w:rPr>
          <w:color w:val="000000"/>
          <w:lang w:val="es-CO"/>
        </w:rPr>
      </w:pPr>
      <w:r>
        <w:rPr>
          <w:rFonts w:eastAsia="Calibri" w:cs="Calibri"/>
          <w:color w:val="000000"/>
          <w:lang w:val="es-ES"/>
        </w:rPr>
        <w:t xml:space="preserve">Una metodología detallada y precisa, donde cada acción a realizar se describa con claridad y alto grado de precisión, lo suficiente para poder apreciar la solidez de la propuesta, describiendo las modalidades de </w:t>
      </w:r>
      <w:r w:rsidRPr="006D2F19">
        <w:rPr>
          <w:rFonts w:eastAsia="Calibri" w:cs="Calibri"/>
          <w:color w:val="000000"/>
          <w:lang w:val="es-ES"/>
        </w:rPr>
        <w:t xml:space="preserve">implementación de la </w:t>
      </w:r>
      <w:r>
        <w:rPr>
          <w:rFonts w:eastAsia="Calibri" w:cs="Calibri"/>
          <w:color w:val="000000"/>
          <w:lang w:val="es-ES"/>
        </w:rPr>
        <w:t>consultoría</w:t>
      </w:r>
      <w:r w:rsidRPr="006D2F19">
        <w:rPr>
          <w:rFonts w:eastAsia="Calibri" w:cs="Calibri"/>
          <w:color w:val="000000"/>
          <w:lang w:val="es-ES"/>
        </w:rPr>
        <w:t xml:space="preserve"> (actividades, herramientas, </w:t>
      </w:r>
      <w:r>
        <w:rPr>
          <w:rFonts w:eastAsia="Calibri" w:cs="Calibri"/>
          <w:color w:val="000000"/>
          <w:lang w:val="es-ES"/>
        </w:rPr>
        <w:t>número de días de trabajo por experto, cronograma de realización de los estudios y de presentación de los entregables, medios movilizados</w:t>
      </w:r>
      <w:r w:rsidRPr="006D2F19">
        <w:rPr>
          <w:rFonts w:eastAsia="Calibri" w:cs="Calibri"/>
          <w:color w:val="000000"/>
          <w:lang w:val="es-CO"/>
        </w:rPr>
        <w:t>),</w:t>
      </w:r>
    </w:p>
    <w:p w14:paraId="43DCB0DB" w14:textId="77777777" w:rsidR="00BE5437" w:rsidRPr="00C15D1A" w:rsidRDefault="00BE5437" w:rsidP="0087163E">
      <w:pPr>
        <w:numPr>
          <w:ilvl w:val="1"/>
          <w:numId w:val="6"/>
        </w:numPr>
        <w:pBdr>
          <w:top w:val="nil"/>
          <w:left w:val="nil"/>
          <w:bottom w:val="nil"/>
          <w:right w:val="nil"/>
          <w:between w:val="nil"/>
        </w:pBdr>
        <w:spacing w:after="0" w:line="276" w:lineRule="auto"/>
        <w:jc w:val="both"/>
        <w:rPr>
          <w:color w:val="000000"/>
          <w:lang w:val="es-CO"/>
        </w:rPr>
      </w:pPr>
      <w:r w:rsidRPr="00C15D1A">
        <w:rPr>
          <w:rFonts w:eastAsia="Calibri" w:cs="Calibri"/>
          <w:color w:val="000000"/>
          <w:lang w:val="es-CO"/>
        </w:rPr>
        <w:t xml:space="preserve">La presentación general del equipo de expertos, con hojas de vida/CV (en formato UE) de los consultores, incluyendo </w:t>
      </w:r>
      <w:r>
        <w:rPr>
          <w:rFonts w:eastAsia="Calibri" w:cs="Calibri"/>
          <w:color w:val="000000"/>
          <w:u w:val="single"/>
          <w:lang w:val="es-CO"/>
        </w:rPr>
        <w:t>en cada</w:t>
      </w:r>
      <w:r w:rsidRPr="00C15D1A">
        <w:rPr>
          <w:rFonts w:eastAsia="Calibri" w:cs="Calibri"/>
          <w:color w:val="000000"/>
          <w:u w:val="single"/>
          <w:lang w:val="es-CO"/>
        </w:rPr>
        <w:t xml:space="preserve"> CV</w:t>
      </w:r>
      <w:r w:rsidRPr="00C15D1A">
        <w:rPr>
          <w:rFonts w:eastAsia="Calibri" w:cs="Calibri"/>
          <w:color w:val="000000"/>
          <w:lang w:val="es-CO"/>
        </w:rPr>
        <w:t xml:space="preserve"> 3 referencias y contactos (nombre, correo y número de teléfono) sobre temas afines al de la presente consultoría,</w:t>
      </w:r>
    </w:p>
    <w:p w14:paraId="04798958" w14:textId="77777777" w:rsidR="00BE5437" w:rsidRPr="006D2F19" w:rsidRDefault="00BE5437" w:rsidP="0087163E">
      <w:pPr>
        <w:numPr>
          <w:ilvl w:val="0"/>
          <w:numId w:val="6"/>
        </w:numPr>
        <w:pBdr>
          <w:top w:val="nil"/>
          <w:left w:val="nil"/>
          <w:bottom w:val="nil"/>
          <w:right w:val="nil"/>
          <w:between w:val="nil"/>
        </w:pBdr>
        <w:autoSpaceDE w:val="0"/>
        <w:spacing w:after="0" w:line="276" w:lineRule="auto"/>
        <w:jc w:val="both"/>
        <w:rPr>
          <w:lang w:val="es-CO"/>
        </w:rPr>
      </w:pPr>
      <w:r w:rsidRPr="006D2F19">
        <w:rPr>
          <w:rFonts w:eastAsia="Calibri" w:cs="Calibri"/>
          <w:color w:val="000000"/>
          <w:lang w:val="es-ES"/>
        </w:rPr>
        <w:t xml:space="preserve">Una propuesta financiera </w:t>
      </w:r>
      <w:r>
        <w:rPr>
          <w:rFonts w:eastAsia="Calibri" w:cs="Calibri"/>
          <w:color w:val="000000"/>
          <w:lang w:val="es-ES"/>
        </w:rPr>
        <w:t>detallada y completa:</w:t>
      </w:r>
    </w:p>
    <w:p w14:paraId="4596A8E5" w14:textId="77777777" w:rsidR="00BE5437" w:rsidRPr="00C234F1" w:rsidRDefault="00BE5437" w:rsidP="0087163E">
      <w:pPr>
        <w:numPr>
          <w:ilvl w:val="1"/>
          <w:numId w:val="6"/>
        </w:numPr>
        <w:pBdr>
          <w:top w:val="nil"/>
          <w:left w:val="nil"/>
          <w:bottom w:val="nil"/>
          <w:right w:val="nil"/>
          <w:between w:val="nil"/>
        </w:pBdr>
        <w:autoSpaceDE w:val="0"/>
        <w:spacing w:after="0" w:line="276" w:lineRule="auto"/>
        <w:jc w:val="both"/>
        <w:rPr>
          <w:lang w:val="es-CO"/>
        </w:rPr>
      </w:pPr>
      <w:r>
        <w:rPr>
          <w:rFonts w:eastAsia="Calibri" w:cs="Calibri"/>
          <w:color w:val="000000"/>
          <w:lang w:val="es-CO"/>
        </w:rPr>
        <w:t>Honorarios por experto y por día,</w:t>
      </w:r>
    </w:p>
    <w:p w14:paraId="3FDA2E4F" w14:textId="77777777" w:rsidR="00BE5437" w:rsidRPr="00C234F1" w:rsidRDefault="00BE5437" w:rsidP="0087163E">
      <w:pPr>
        <w:numPr>
          <w:ilvl w:val="1"/>
          <w:numId w:val="6"/>
        </w:numPr>
        <w:pBdr>
          <w:top w:val="nil"/>
          <w:left w:val="nil"/>
          <w:bottom w:val="nil"/>
          <w:right w:val="nil"/>
          <w:between w:val="nil"/>
        </w:pBdr>
        <w:autoSpaceDE w:val="0"/>
        <w:spacing w:after="0" w:line="276" w:lineRule="auto"/>
        <w:jc w:val="both"/>
        <w:rPr>
          <w:lang w:val="es-CO"/>
        </w:rPr>
      </w:pPr>
      <w:r>
        <w:rPr>
          <w:rFonts w:eastAsia="Calibri" w:cs="Calibri"/>
          <w:color w:val="000000"/>
          <w:lang w:val="es-CO"/>
        </w:rPr>
        <w:t>Otros gastos previstos,</w:t>
      </w:r>
    </w:p>
    <w:p w14:paraId="302F73BA" w14:textId="77777777" w:rsidR="00BE5437" w:rsidRPr="00F11186" w:rsidRDefault="00BE5437" w:rsidP="0087163E">
      <w:pPr>
        <w:numPr>
          <w:ilvl w:val="1"/>
          <w:numId w:val="6"/>
        </w:numPr>
        <w:pBdr>
          <w:top w:val="nil"/>
          <w:left w:val="nil"/>
          <w:bottom w:val="nil"/>
          <w:right w:val="nil"/>
          <w:between w:val="nil"/>
        </w:pBdr>
        <w:autoSpaceDE w:val="0"/>
        <w:spacing w:after="0" w:line="276" w:lineRule="auto"/>
        <w:jc w:val="both"/>
        <w:rPr>
          <w:lang w:val="es-CO"/>
        </w:rPr>
      </w:pPr>
      <w:r w:rsidRPr="00C234F1">
        <w:rPr>
          <w:rFonts w:eastAsia="Calibri" w:cs="Calibri"/>
          <w:color w:val="000000"/>
          <w:lang w:val="es-ES"/>
        </w:rPr>
        <w:t>Total, por actividad y global.</w:t>
      </w:r>
    </w:p>
    <w:p w14:paraId="41B78306" w14:textId="77777777" w:rsidR="00B36C10" w:rsidRDefault="00B36C10" w:rsidP="00490C29">
      <w:pPr>
        <w:jc w:val="both"/>
        <w:rPr>
          <w:iCs/>
        </w:rPr>
      </w:pPr>
    </w:p>
    <w:p w14:paraId="2777770C" w14:textId="2B785091" w:rsidR="00C31C39" w:rsidRDefault="00F66AFE" w:rsidP="00490C29">
      <w:pPr>
        <w:jc w:val="both"/>
        <w:rPr>
          <w:iCs/>
        </w:rPr>
      </w:pPr>
      <w:r w:rsidRPr="00490C29">
        <w:rPr>
          <w:iCs/>
        </w:rPr>
        <w:t>La propuesta financiera deberá distinguir claramente entre costos de implementación, costos de hosting o licenciamiento, costos recurrentes de operación, mantenimiento y soporte, y cualquier costo asociado con futuras ampliaciones modulares o integraciones.</w:t>
      </w:r>
    </w:p>
    <w:p w14:paraId="0F6B2FFC" w14:textId="64F751FC" w:rsidR="00BE5437" w:rsidRDefault="006D4D93" w:rsidP="0087163E">
      <w:pPr>
        <w:pStyle w:val="Paragraphedeliste"/>
        <w:numPr>
          <w:ilvl w:val="0"/>
          <w:numId w:val="25"/>
        </w:numPr>
        <w:jc w:val="both"/>
        <w:rPr>
          <w:b/>
          <w:bCs/>
          <w:lang w:val="es-CO"/>
        </w:rPr>
      </w:pPr>
      <w:r w:rsidRPr="00673A68">
        <w:rPr>
          <w:b/>
          <w:bCs/>
          <w:lang w:val="es-CO"/>
        </w:rPr>
        <w:t>Lineamientos Generales de Comunicación</w:t>
      </w:r>
      <w:r w:rsidR="00B36C10">
        <w:rPr>
          <w:b/>
          <w:bCs/>
          <w:lang w:val="es-CO"/>
        </w:rPr>
        <w:t>:</w:t>
      </w:r>
    </w:p>
    <w:p w14:paraId="6AA7E796" w14:textId="77777777" w:rsidR="00B36C10" w:rsidRDefault="00B36C10" w:rsidP="00A11054">
      <w:pPr>
        <w:jc w:val="both"/>
        <w:rPr>
          <w:lang w:val="es-CO"/>
        </w:rPr>
      </w:pPr>
    </w:p>
    <w:p w14:paraId="4AA53A4C" w14:textId="4118ACBF" w:rsidR="00BE5437" w:rsidRPr="00F11186" w:rsidRDefault="00BE5437" w:rsidP="00A11054">
      <w:pPr>
        <w:jc w:val="both"/>
        <w:rPr>
          <w:lang w:val="es-CO"/>
        </w:rPr>
      </w:pPr>
      <w:r w:rsidRPr="00F11186">
        <w:rPr>
          <w:lang w:val="es-CO"/>
        </w:rPr>
        <w:t>La comunicación estratégica y la visibilidad son parte fundamental de todos los programas de la Unión Europea, incluido el Programa insignia EUROCLIMA. Las directrices son proporcionadas por la Dirección General de Comunicación de la Comisión Europea.</w:t>
      </w:r>
    </w:p>
    <w:p w14:paraId="3FBA46E8" w14:textId="77777777" w:rsidR="00BE5437" w:rsidRPr="00F11186" w:rsidRDefault="00BE5437" w:rsidP="00A11054">
      <w:pPr>
        <w:jc w:val="both"/>
        <w:rPr>
          <w:lang w:val="es-CO"/>
        </w:rPr>
      </w:pPr>
      <w:r w:rsidRPr="00F11186">
        <w:rPr>
          <w:lang w:val="es-CO"/>
        </w:rPr>
        <w:t>Todos los contratos y acuerdos deberán ajustarse a estas directrices de comunicación:</w:t>
      </w:r>
    </w:p>
    <w:p w14:paraId="683F0F31" w14:textId="77777777" w:rsidR="002D4E26" w:rsidRDefault="00BE5437" w:rsidP="0087163E">
      <w:pPr>
        <w:pStyle w:val="Paragraphedeliste"/>
        <w:numPr>
          <w:ilvl w:val="1"/>
          <w:numId w:val="26"/>
        </w:numPr>
        <w:jc w:val="both"/>
        <w:rPr>
          <w:lang w:val="es-CO"/>
        </w:rPr>
      </w:pPr>
      <w:r w:rsidRPr="002D4E26">
        <w:rPr>
          <w:lang w:val="es-CO"/>
        </w:rPr>
        <w:t>Comunicar y dar visibilidad al programa EUROCLIMA y a Expertise France.</w:t>
      </w:r>
    </w:p>
    <w:p w14:paraId="5636ADA1" w14:textId="77777777" w:rsidR="002D4E26" w:rsidRDefault="00BE5437" w:rsidP="0087163E">
      <w:pPr>
        <w:pStyle w:val="Paragraphedeliste"/>
        <w:numPr>
          <w:ilvl w:val="1"/>
          <w:numId w:val="26"/>
        </w:numPr>
        <w:jc w:val="both"/>
        <w:rPr>
          <w:lang w:val="es-CO"/>
        </w:rPr>
      </w:pPr>
      <w:r w:rsidRPr="002D4E26">
        <w:rPr>
          <w:lang w:val="es-CO"/>
        </w:rPr>
        <w:lastRenderedPageBreak/>
        <w:t>Garantizar la visibilidad adecuada de la ayuda financiera del Programa EUROCLIMA y Expertise France, que permita dar cuenta de la utilización de los fondos y asegurar la transparencia a los contribuyentes y a los ciudadanos de los países socios.</w:t>
      </w:r>
    </w:p>
    <w:p w14:paraId="0AAFE9BC" w14:textId="77777777" w:rsidR="002D4E26" w:rsidRDefault="00BE5437" w:rsidP="0087163E">
      <w:pPr>
        <w:pStyle w:val="Paragraphedeliste"/>
        <w:numPr>
          <w:ilvl w:val="1"/>
          <w:numId w:val="26"/>
        </w:numPr>
        <w:jc w:val="both"/>
        <w:rPr>
          <w:lang w:val="es-CO"/>
        </w:rPr>
      </w:pPr>
      <w:r w:rsidRPr="002D4E26">
        <w:rPr>
          <w:lang w:val="es-CO"/>
        </w:rPr>
        <w:t>La comunicación estratégica es fundamental para reforzar el papel de la Unión Europea, el Programa EUROCLIMA y Expertise France en el mundo, aumentando la credibilidad al demostrar el valor añadido que genera su apoyo.</w:t>
      </w:r>
    </w:p>
    <w:p w14:paraId="19A68886" w14:textId="77777777" w:rsidR="002D4E26" w:rsidRDefault="00BE5437" w:rsidP="0087163E">
      <w:pPr>
        <w:pStyle w:val="Paragraphedeliste"/>
        <w:numPr>
          <w:ilvl w:val="1"/>
          <w:numId w:val="26"/>
        </w:numPr>
        <w:jc w:val="both"/>
        <w:rPr>
          <w:lang w:val="es-CO"/>
        </w:rPr>
      </w:pPr>
      <w:r w:rsidRPr="002D4E26">
        <w:rPr>
          <w:lang w:val="es-CO"/>
        </w:rPr>
        <w:t>Todas las actividades de comunicación realizadas en el marco de la acción deben seguir los lineamientos de comunicación del Programa y de Expertise France, en particular el uso de los logos en el orden indicado por la Dirección General de Comunicaciones del Secretariado del Programa.</w:t>
      </w:r>
    </w:p>
    <w:p w14:paraId="24D02B23" w14:textId="77777777" w:rsidR="002D4E26" w:rsidRDefault="00BE5437" w:rsidP="0087163E">
      <w:pPr>
        <w:pStyle w:val="Paragraphedeliste"/>
        <w:numPr>
          <w:ilvl w:val="1"/>
          <w:numId w:val="26"/>
        </w:numPr>
        <w:jc w:val="both"/>
        <w:rPr>
          <w:lang w:val="es-CO"/>
        </w:rPr>
      </w:pPr>
      <w:r w:rsidRPr="002D4E26">
        <w:rPr>
          <w:lang w:val="es-CO"/>
        </w:rPr>
        <w:t xml:space="preserve">En todo producto de comunicación deben aparecer los logos del Programa y de Expertise France: videos, comunicados de prensa, banners, presentaciones, papelería, afiches, página web, </w:t>
      </w:r>
      <w:proofErr w:type="spellStart"/>
      <w:r w:rsidRPr="002D4E26">
        <w:rPr>
          <w:lang w:val="es-CO"/>
        </w:rPr>
        <w:t>landing</w:t>
      </w:r>
      <w:proofErr w:type="spellEnd"/>
      <w:r w:rsidRPr="002D4E26">
        <w:rPr>
          <w:lang w:val="es-CO"/>
        </w:rPr>
        <w:t xml:space="preserve"> page, membretes, tarjetas, eventos digitales, eventos presenciales, publicaciones, impresiones, reportes, etc.</w:t>
      </w:r>
    </w:p>
    <w:p w14:paraId="6113A8DE" w14:textId="77777777" w:rsidR="00BE5437" w:rsidRPr="002D4E26" w:rsidRDefault="00BE5437" w:rsidP="0087163E">
      <w:pPr>
        <w:pStyle w:val="Paragraphedeliste"/>
        <w:numPr>
          <w:ilvl w:val="1"/>
          <w:numId w:val="26"/>
        </w:numPr>
        <w:jc w:val="both"/>
        <w:rPr>
          <w:lang w:val="es-CO"/>
        </w:rPr>
      </w:pPr>
      <w:r w:rsidRPr="002D4E26">
        <w:rPr>
          <w:lang w:val="es-CO"/>
        </w:rPr>
        <w:t>Toda pieza de comunicación, plan de comunicación de un proyecto debe obtener la aprobación de Expertise France antes de que se inicie la ejecución, salvo que se acuerde lo contrario. Los socios encargados de la ejecución deberán consultar a sus homólogos de Expertise France en lo relacionado con la preparación y aplicación de su plan de comunicaciones, piezas gráficas, campañas, estrategias de comunicación a desarrollar.</w:t>
      </w:r>
    </w:p>
    <w:p w14:paraId="4A422D9B" w14:textId="77CC3D1E" w:rsidR="00BE5437" w:rsidRPr="00F11186" w:rsidRDefault="00BE5437" w:rsidP="00A11054">
      <w:pPr>
        <w:tabs>
          <w:tab w:val="left" w:pos="3348"/>
        </w:tabs>
        <w:jc w:val="both"/>
        <w:rPr>
          <w:lang w:val="es-CO"/>
        </w:rPr>
      </w:pPr>
    </w:p>
    <w:p w14:paraId="45E2674E" w14:textId="1193CF07" w:rsidR="00220526" w:rsidRDefault="00BE5437" w:rsidP="00A11054">
      <w:pPr>
        <w:jc w:val="both"/>
      </w:pPr>
      <w:r w:rsidRPr="00F11186">
        <w:rPr>
          <w:lang w:val="es-CO"/>
        </w:rPr>
        <w:t xml:space="preserve">* </w:t>
      </w:r>
      <w:r w:rsidRPr="00F11186">
        <w:rPr>
          <w:i/>
          <w:iCs/>
          <w:sz w:val="20"/>
          <w:szCs w:val="20"/>
          <w:lang w:val="es-CO"/>
        </w:rPr>
        <w:t>Todos los beneficiarios de la financiación de la Unión Europea tienen la obligación general de reconocer el origen de los fondos y garantizar la visibilidad de la financiación de la UE recibida, tal y como se indica en el Reglamento Financiero de 2018, en el Instrumento de Vecindad, Cooperación al Desarrollo y Cooperación Internacional - Europa Global, en el Instrumento de Ayuda de Preadhesión III, en el Instrumento Europeo de Cooperación Internacional en materia de Seguridad Nuclear y en la Decisión de Asociación Ultramar, incluida Groenlandia. Las obligaciones de visibilidad se aplican por igual, independientemente de que las acciones en cuestión sean implementadas por la Comisión Europea, por medio de contratos de subvención y contratos públicos o por los socios a través de una gestión indirecta. En estas directrices, las menciones a los beneficiarios o socios (ejecutores) se refieren a los beneficiarios de las subvenciones, contratistas, organizaciones, entidades o personas que ejecutan las acciones externas, ya sea por medio de una gestión directa o indirecta, financiadas total o parcialmente por la UE</w:t>
      </w:r>
    </w:p>
    <w:sectPr w:rsidR="00220526" w:rsidSect="00A60426">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F4A12" w14:textId="77777777" w:rsidR="008F0393" w:rsidRDefault="008F0393" w:rsidP="00AF7742">
      <w:pPr>
        <w:spacing w:after="0" w:line="240" w:lineRule="auto"/>
      </w:pPr>
      <w:r>
        <w:separator/>
      </w:r>
    </w:p>
  </w:endnote>
  <w:endnote w:type="continuationSeparator" w:id="0">
    <w:p w14:paraId="618A9B75" w14:textId="77777777" w:rsidR="008F0393" w:rsidRDefault="008F0393" w:rsidP="00AF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ill Sans MT">
    <w:altName w:val="Segoe UI"/>
    <w:charset w:val="00"/>
    <w:family w:val="swiss"/>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191232"/>
      <w:docPartObj>
        <w:docPartGallery w:val="Page Numbers (Bottom of Page)"/>
        <w:docPartUnique/>
      </w:docPartObj>
    </w:sdtPr>
    <w:sdtEndPr/>
    <w:sdtContent>
      <w:p w14:paraId="47600941" w14:textId="7D168C87" w:rsidR="00564B84" w:rsidRDefault="00564B84">
        <w:pPr>
          <w:pStyle w:val="Pieddepage"/>
          <w:jc w:val="right"/>
        </w:pPr>
        <w:r>
          <w:fldChar w:fldCharType="begin"/>
        </w:r>
        <w:r>
          <w:instrText>PAGE   \* MERGEFORMAT</w:instrText>
        </w:r>
        <w:r>
          <w:fldChar w:fldCharType="separate"/>
        </w:r>
        <w:r w:rsidR="009175F3">
          <w:rPr>
            <w:noProof/>
          </w:rPr>
          <w:t>16</w:t>
        </w:r>
        <w:r>
          <w:fldChar w:fldCharType="end"/>
        </w:r>
      </w:p>
    </w:sdtContent>
  </w:sdt>
  <w:p w14:paraId="4A4FD3E9" w14:textId="77777777" w:rsidR="00564B84" w:rsidRDefault="00564B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73D59" w14:textId="77777777" w:rsidR="008F0393" w:rsidRDefault="008F0393" w:rsidP="00AF7742">
      <w:pPr>
        <w:spacing w:after="0" w:line="240" w:lineRule="auto"/>
      </w:pPr>
      <w:r>
        <w:separator/>
      </w:r>
    </w:p>
  </w:footnote>
  <w:footnote w:type="continuationSeparator" w:id="0">
    <w:p w14:paraId="5BA75E44" w14:textId="77777777" w:rsidR="008F0393" w:rsidRDefault="008F0393" w:rsidP="00AF7742">
      <w:pPr>
        <w:spacing w:after="0" w:line="240" w:lineRule="auto"/>
      </w:pPr>
      <w:r>
        <w:continuationSeparator/>
      </w:r>
    </w:p>
  </w:footnote>
  <w:footnote w:id="1">
    <w:p w14:paraId="5C2D14F8" w14:textId="55679A57" w:rsidR="00564B84" w:rsidRPr="004D6778" w:rsidRDefault="00564B84">
      <w:pPr>
        <w:pStyle w:val="Notedebasdepage"/>
        <w:rPr>
          <w:lang w:val="es-MX"/>
        </w:rPr>
      </w:pPr>
      <w:r>
        <w:rPr>
          <w:rStyle w:val="Appelnotedebasdep"/>
        </w:rPr>
        <w:footnoteRef/>
      </w:r>
      <w:r>
        <w:t xml:space="preserve"> Se señala xAPI, porque </w:t>
      </w:r>
      <w:r w:rsidRPr="00DA0A37">
        <w:t xml:space="preserve">la prioridad del SFE es </w:t>
      </w:r>
      <w:r w:rsidRPr="00DA0A37">
        <w:rPr>
          <w:b/>
          <w:bCs/>
        </w:rPr>
        <w:t>facilidad de administración y amplia compatibilidad</w:t>
      </w:r>
      <w:r w:rsidRPr="00DA0A37">
        <w:t xml:space="preserve">, SCORM sigue siendo útil como mínimo; pero si se quiere una plataforma con </w:t>
      </w:r>
      <w:r w:rsidRPr="00DA0A37">
        <w:rPr>
          <w:b/>
          <w:bCs/>
        </w:rPr>
        <w:t>mejor analítica, trazabilidad y crecimiento futuro</w:t>
      </w:r>
      <w:r w:rsidRPr="00DA0A37">
        <w:t xml:space="preserve">, conviene pedir </w:t>
      </w:r>
      <w:r w:rsidRPr="00DA0A37">
        <w:rPr>
          <w:b/>
          <w:bCs/>
        </w:rPr>
        <w:t xml:space="preserve">compatibilidad con </w:t>
      </w:r>
      <w:proofErr w:type="spellStart"/>
      <w:r w:rsidRPr="00DA0A37">
        <w:rPr>
          <w:b/>
          <w:bCs/>
        </w:rPr>
        <w:t>xAPI</w:t>
      </w:r>
      <w:proofErr w:type="spellEnd"/>
      <w:r w:rsidR="00817F78">
        <w:rPr>
          <w:b/>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31748" w14:textId="77777777" w:rsidR="00564B84" w:rsidRDefault="00564B84" w:rsidP="00A60426">
    <w:pPr>
      <w:pStyle w:val="En-tte"/>
      <w:tabs>
        <w:tab w:val="center" w:pos="5670"/>
      </w:tabs>
      <w:rPr>
        <w:rFonts w:ascii="Times New Roman" w:hAnsi="Times New Roman"/>
        <w:snapToGrid w:val="0"/>
        <w:color w:val="000000"/>
        <w:w w:val="0"/>
        <w:sz w:val="0"/>
        <w:szCs w:val="0"/>
        <w:u w:color="000000"/>
        <w:bdr w:val="none" w:sz="0" w:space="0" w:color="000000"/>
        <w:shd w:val="clear" w:color="000000" w:fill="000000"/>
        <w:lang w:val="x-none" w:eastAsia="x-none" w:bidi="x-none"/>
      </w:rPr>
    </w:pPr>
    <w:r w:rsidRPr="00A47258">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14:paraId="2F70EB4A" w14:textId="77777777" w:rsidR="00564B84" w:rsidRDefault="00564B84" w:rsidP="00B302B6">
    <w:pPr>
      <w:pStyle w:val="En-tte"/>
      <w:tabs>
        <w:tab w:val="center" w:pos="5670"/>
      </w:tabs>
      <w:jc w:val="right"/>
      <w:rPr>
        <w:b/>
        <w:bCs/>
      </w:rPr>
    </w:pPr>
    <w:r>
      <w:rPr>
        <w:b/>
        <w:bCs/>
        <w:noProof/>
        <w:lang w:val="fr-FR" w:eastAsia="fr-FR"/>
      </w:rPr>
      <w:drawing>
        <wp:inline distT="0" distB="0" distL="0" distR="0" wp14:anchorId="7D108E2A" wp14:editId="7F2AE50E">
          <wp:extent cx="5760720" cy="908685"/>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nefa-GG-UE-COOP-EF (3).jpg"/>
                  <pic:cNvPicPr/>
                </pic:nvPicPr>
                <pic:blipFill>
                  <a:blip r:embed="rId1">
                    <a:extLst>
                      <a:ext uri="{28A0092B-C50C-407E-A947-70E740481C1C}">
                        <a14:useLocalDpi xmlns:a14="http://schemas.microsoft.com/office/drawing/2010/main" val="0"/>
                      </a:ext>
                    </a:extLst>
                  </a:blip>
                  <a:stretch>
                    <a:fillRect/>
                  </a:stretch>
                </pic:blipFill>
                <pic:spPr>
                  <a:xfrm>
                    <a:off x="0" y="0"/>
                    <a:ext cx="5760720" cy="908685"/>
                  </a:xfrm>
                  <a:prstGeom prst="rect">
                    <a:avLst/>
                  </a:prstGeom>
                </pic:spPr>
              </pic:pic>
            </a:graphicData>
          </a:graphic>
        </wp:inline>
      </w:drawing>
    </w:r>
  </w:p>
  <w:p w14:paraId="19FF5053" w14:textId="77777777" w:rsidR="00564B84" w:rsidRPr="00A60426" w:rsidRDefault="00564B84" w:rsidP="00A60426">
    <w:pPr>
      <w:pStyle w:val="En-tte"/>
      <w:tabs>
        <w:tab w:val="center" w:pos="5670"/>
      </w:tabs>
      <w:rPr>
        <w:b/>
        <w:b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B206B" w14:textId="77777777" w:rsidR="00564B84" w:rsidRDefault="00564B84" w:rsidP="005235FF">
    <w:pPr>
      <w:pStyle w:val="En-tte"/>
      <w:tabs>
        <w:tab w:val="center" w:pos="5670"/>
      </w:tabs>
      <w:rPr>
        <w:b/>
        <w:bCs/>
      </w:rPr>
    </w:pPr>
    <w:r w:rsidRPr="00DB41B3">
      <w:rPr>
        <w:noProof/>
        <w:lang w:val="fr-FR" w:eastAsia="fr-FR"/>
      </w:rPr>
      <w:drawing>
        <wp:anchor distT="0" distB="0" distL="114300" distR="114300" simplePos="0" relativeHeight="251659264" behindDoc="0" locked="0" layoutInCell="1" allowOverlap="1" wp14:anchorId="2BA23768" wp14:editId="09346B39">
          <wp:simplePos x="0" y="0"/>
          <wp:positionH relativeFrom="column">
            <wp:posOffset>2224405</wp:posOffset>
          </wp:positionH>
          <wp:positionV relativeFrom="paragraph">
            <wp:posOffset>-116840</wp:posOffset>
          </wp:positionV>
          <wp:extent cx="1544196" cy="790575"/>
          <wp:effectExtent l="0" t="0" r="0" b="0"/>
          <wp:wrapNone/>
          <wp:docPr id="4" name="Image 4" descr="C:\Users\Expert\Desktop\2. Documentation\Expertise France\Procédures EF\Communication\EF\Logo Expertise France - Groupe AFD\Logo Expertise France - Fond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Expertise France\Procédures EF\Communication\EF\Logo Expertise France - Groupe AFD\Logo Expertise France - Fond blanc.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196" cy="790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7258">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A47258">
      <w:rPr>
        <w:b/>
        <w:bCs/>
        <w:noProof/>
        <w:lang w:val="fr-FR" w:eastAsia="fr-FR"/>
      </w:rPr>
      <w:drawing>
        <wp:inline distT="0" distB="0" distL="0" distR="0" wp14:anchorId="3B022666" wp14:editId="5C87F5D6">
          <wp:extent cx="2219325" cy="570387"/>
          <wp:effectExtent l="0" t="0" r="0" b="1270"/>
          <wp:docPr id="3" name="Image 3" descr="C:\Users\Expert\Desktop\2. Documentation\3. Transverse EC+\Communication\all-packet\ESP_Logo Euroclima\Full color\EUROCLIMA_horizontal 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pert\Desktop\2. Documentation\3. Transverse EC+\Communication\all-packet\ESP_Logo Euroclima\Full color\EUROCLIMA_horizontal E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7782" cy="572561"/>
                  </a:xfrm>
                  <a:prstGeom prst="rect">
                    <a:avLst/>
                  </a:prstGeom>
                  <a:noFill/>
                  <a:ln>
                    <a:noFill/>
                  </a:ln>
                </pic:spPr>
              </pic:pic>
            </a:graphicData>
          </a:graphic>
        </wp:inline>
      </w:drawing>
    </w:r>
  </w:p>
  <w:p w14:paraId="599772D3" w14:textId="77777777" w:rsidR="00564B84" w:rsidRDefault="00564B84" w:rsidP="005235FF">
    <w:pPr>
      <w:pStyle w:val="En-tte"/>
      <w:tabs>
        <w:tab w:val="center" w:pos="5670"/>
      </w:tab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B14D54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cs="Times New Roman"/>
      </w:rPr>
    </w:lvl>
  </w:abstractNum>
  <w:abstractNum w:abstractNumId="2" w15:restartNumberingAfterBreak="0">
    <w:nsid w:val="062A2DE4"/>
    <w:multiLevelType w:val="hybridMultilevel"/>
    <w:tmpl w:val="6F50CF66"/>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 w15:restartNumberingAfterBreak="0">
    <w:nsid w:val="09E9561A"/>
    <w:multiLevelType w:val="multilevel"/>
    <w:tmpl w:val="C2BAE6F4"/>
    <w:lvl w:ilvl="0">
      <w:start w:val="9"/>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432D84"/>
    <w:multiLevelType w:val="hybridMultilevel"/>
    <w:tmpl w:val="B5DC5AE4"/>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5" w15:restartNumberingAfterBreak="0">
    <w:nsid w:val="142B68BF"/>
    <w:multiLevelType w:val="hybridMultilevel"/>
    <w:tmpl w:val="6CA8F30E"/>
    <w:lvl w:ilvl="0" w:tplc="140A0005">
      <w:start w:val="1"/>
      <w:numFmt w:val="bullet"/>
      <w:lvlText w:val=""/>
      <w:lvlJc w:val="left"/>
      <w:pPr>
        <w:ind w:left="360" w:hanging="360"/>
      </w:pPr>
      <w:rPr>
        <w:rFonts w:ascii="Wingdings" w:hAnsi="Wingdings" w:hint="default"/>
      </w:rPr>
    </w:lvl>
    <w:lvl w:ilvl="1" w:tplc="140A0003">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6" w15:restartNumberingAfterBreak="0">
    <w:nsid w:val="16171439"/>
    <w:multiLevelType w:val="hybridMultilevel"/>
    <w:tmpl w:val="E058262E"/>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7" w15:restartNumberingAfterBreak="0">
    <w:nsid w:val="1B6C26D7"/>
    <w:multiLevelType w:val="hybridMultilevel"/>
    <w:tmpl w:val="6D5E1A3A"/>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8" w15:restartNumberingAfterBreak="0">
    <w:nsid w:val="20174E3B"/>
    <w:multiLevelType w:val="multilevel"/>
    <w:tmpl w:val="204A2228"/>
    <w:lvl w:ilvl="0">
      <w:start w:val="1"/>
      <w:numFmt w:val="decimal"/>
      <w:lvlText w:val="%1."/>
      <w:lvlJc w:val="left"/>
      <w:pPr>
        <w:ind w:left="360" w:hanging="360"/>
      </w:pPr>
    </w:lvl>
    <w:lvl w:ilvl="1">
      <w:start w:val="2"/>
      <w:numFmt w:val="decimal"/>
      <w:isLgl/>
      <w:lvlText w:val="%1.%2"/>
      <w:lvlJc w:val="left"/>
      <w:pPr>
        <w:ind w:left="550" w:hanging="550"/>
      </w:pPr>
      <w:rPr>
        <w:rFonts w:hint="default"/>
      </w:rPr>
    </w:lvl>
    <w:lvl w:ilvl="2">
      <w:start w:val="3"/>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0A05FB9"/>
    <w:multiLevelType w:val="hybridMultilevel"/>
    <w:tmpl w:val="FDE84608"/>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0" w15:restartNumberingAfterBreak="0">
    <w:nsid w:val="327E49E9"/>
    <w:multiLevelType w:val="hybridMultilevel"/>
    <w:tmpl w:val="79C6210A"/>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3AC84285"/>
    <w:multiLevelType w:val="hybridMultilevel"/>
    <w:tmpl w:val="E0AA69CC"/>
    <w:lvl w:ilvl="0" w:tplc="140A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D6518AF"/>
    <w:multiLevelType w:val="hybridMultilevel"/>
    <w:tmpl w:val="662ACB62"/>
    <w:lvl w:ilvl="0" w:tplc="140A0005">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42590D47"/>
    <w:multiLevelType w:val="hybridMultilevel"/>
    <w:tmpl w:val="A9EE7CA8"/>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69D31AF"/>
    <w:multiLevelType w:val="hybridMultilevel"/>
    <w:tmpl w:val="A6766A3A"/>
    <w:lvl w:ilvl="0" w:tplc="040C001B">
      <w:start w:val="1"/>
      <w:numFmt w:val="low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4C9D6F15"/>
    <w:multiLevelType w:val="hybridMultilevel"/>
    <w:tmpl w:val="8BC4798E"/>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6" w15:restartNumberingAfterBreak="0">
    <w:nsid w:val="4E8879C9"/>
    <w:multiLevelType w:val="hybridMultilevel"/>
    <w:tmpl w:val="E4AE74CC"/>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7" w15:restartNumberingAfterBreak="0">
    <w:nsid w:val="52C04A49"/>
    <w:multiLevelType w:val="hybridMultilevel"/>
    <w:tmpl w:val="16B8187E"/>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8" w15:restartNumberingAfterBreak="0">
    <w:nsid w:val="5E5C48E9"/>
    <w:multiLevelType w:val="multilevel"/>
    <w:tmpl w:val="826E51D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F54758E"/>
    <w:multiLevelType w:val="multilevel"/>
    <w:tmpl w:val="1E945498"/>
    <w:lvl w:ilvl="0">
      <w:start w:val="4"/>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5AB1039"/>
    <w:multiLevelType w:val="hybridMultilevel"/>
    <w:tmpl w:val="1DB4EA34"/>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1" w15:restartNumberingAfterBreak="0">
    <w:nsid w:val="6E5E6049"/>
    <w:multiLevelType w:val="hybridMultilevel"/>
    <w:tmpl w:val="1A827224"/>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2" w15:restartNumberingAfterBreak="0">
    <w:nsid w:val="71B21A41"/>
    <w:multiLevelType w:val="hybridMultilevel"/>
    <w:tmpl w:val="2A06856C"/>
    <w:lvl w:ilvl="0" w:tplc="140A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4E83562"/>
    <w:multiLevelType w:val="hybridMultilevel"/>
    <w:tmpl w:val="3864A2AE"/>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4" w15:restartNumberingAfterBreak="0">
    <w:nsid w:val="751F0383"/>
    <w:multiLevelType w:val="hybridMultilevel"/>
    <w:tmpl w:val="F0D4A906"/>
    <w:lvl w:ilvl="0" w:tplc="040C001B">
      <w:start w:val="1"/>
      <w:numFmt w:val="low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67F331D"/>
    <w:multiLevelType w:val="hybridMultilevel"/>
    <w:tmpl w:val="2A903028"/>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26" w15:restartNumberingAfterBreak="0">
    <w:nsid w:val="7B4F4DC1"/>
    <w:multiLevelType w:val="hybridMultilevel"/>
    <w:tmpl w:val="36B67618"/>
    <w:lvl w:ilvl="0" w:tplc="140A0005">
      <w:start w:val="1"/>
      <w:numFmt w:val="bullet"/>
      <w:lvlText w:val=""/>
      <w:lvlJc w:val="left"/>
      <w:pPr>
        <w:ind w:left="360" w:hanging="360"/>
      </w:pPr>
      <w:rPr>
        <w:rFonts w:ascii="Wingdings" w:hAnsi="Wingding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7" w15:restartNumberingAfterBreak="0">
    <w:nsid w:val="7F885E99"/>
    <w:multiLevelType w:val="hybridMultilevel"/>
    <w:tmpl w:val="C082D286"/>
    <w:lvl w:ilvl="0" w:tplc="040C000F">
      <w:start w:val="1"/>
      <w:numFmt w:val="decimal"/>
      <w:lvlText w:val="%1."/>
      <w:lvlJc w:val="left"/>
      <w:pPr>
        <w:ind w:left="360" w:hanging="360"/>
      </w:pPr>
      <w:rPr>
        <w:rFonts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num w:numId="1">
    <w:abstractNumId w:val="0"/>
  </w:num>
  <w:num w:numId="2">
    <w:abstractNumId w:val="18"/>
  </w:num>
  <w:num w:numId="3">
    <w:abstractNumId w:val="11"/>
  </w:num>
  <w:num w:numId="4">
    <w:abstractNumId w:val="22"/>
  </w:num>
  <w:num w:numId="5">
    <w:abstractNumId w:val="20"/>
  </w:num>
  <w:num w:numId="6">
    <w:abstractNumId w:val="5"/>
  </w:num>
  <w:num w:numId="7">
    <w:abstractNumId w:val="2"/>
  </w:num>
  <w:num w:numId="8">
    <w:abstractNumId w:val="21"/>
  </w:num>
  <w:num w:numId="9">
    <w:abstractNumId w:val="16"/>
  </w:num>
  <w:num w:numId="10">
    <w:abstractNumId w:val="24"/>
  </w:num>
  <w:num w:numId="11">
    <w:abstractNumId w:val="8"/>
  </w:num>
  <w:num w:numId="12">
    <w:abstractNumId w:val="14"/>
  </w:num>
  <w:num w:numId="13">
    <w:abstractNumId w:val="17"/>
  </w:num>
  <w:num w:numId="14">
    <w:abstractNumId w:val="25"/>
  </w:num>
  <w:num w:numId="15">
    <w:abstractNumId w:val="26"/>
  </w:num>
  <w:num w:numId="16">
    <w:abstractNumId w:val="7"/>
  </w:num>
  <w:num w:numId="17">
    <w:abstractNumId w:val="23"/>
  </w:num>
  <w:num w:numId="18">
    <w:abstractNumId w:val="9"/>
  </w:num>
  <w:num w:numId="19">
    <w:abstractNumId w:val="10"/>
  </w:num>
  <w:num w:numId="20">
    <w:abstractNumId w:val="12"/>
  </w:num>
  <w:num w:numId="21">
    <w:abstractNumId w:val="15"/>
  </w:num>
  <w:num w:numId="22">
    <w:abstractNumId w:val="4"/>
  </w:num>
  <w:num w:numId="23">
    <w:abstractNumId w:val="6"/>
  </w:num>
  <w:num w:numId="24">
    <w:abstractNumId w:val="19"/>
  </w:num>
  <w:num w:numId="25">
    <w:abstractNumId w:val="13"/>
  </w:num>
  <w:num w:numId="26">
    <w:abstractNumId w:val="3"/>
  </w:num>
  <w:num w:numId="2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fr-FR"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es-ES_tradnl" w:vendorID="64" w:dllVersion="6" w:nlCheck="1" w:checkStyle="0"/>
  <w:activeWritingStyle w:appName="MSWord" w:lang="es-419" w:vendorID="64" w:dllVersion="6" w:nlCheck="1" w:checkStyle="0"/>
  <w:activeWritingStyle w:appName="MSWord" w:lang="es-CR" w:vendorID="64" w:dllVersion="6" w:nlCheck="1" w:checkStyle="0"/>
  <w:activeWritingStyle w:appName="MSWord" w:lang="es-CR" w:vendorID="64" w:dllVersion="0" w:nlCheck="1" w:checkStyle="0"/>
  <w:activeWritingStyle w:appName="MSWord" w:lang="es-CO" w:vendorID="64" w:dllVersion="0" w:nlCheck="1" w:checkStyle="0"/>
  <w:activeWritingStyle w:appName="MSWord" w:lang="fr-FR" w:vendorID="64" w:dllVersion="0" w:nlCheck="1" w:checkStyle="0"/>
  <w:activeWritingStyle w:appName="MSWord" w:lang="es-ES" w:vendorID="64" w:dllVersion="0" w:nlCheck="1" w:checkStyle="0"/>
  <w:activeWritingStyle w:appName="MSWord" w:lang="es-419"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s-ES" w:vendorID="64" w:dllVersion="131078" w:nlCheck="1" w:checkStyle="0"/>
  <w:activeWritingStyle w:appName="MSWord" w:lang="es-CR" w:vendorID="64" w:dllVersion="131078" w:nlCheck="1" w:checkStyle="0"/>
  <w:activeWritingStyle w:appName="MSWord" w:lang="es-CO" w:vendorID="64" w:dllVersion="131078" w:nlCheck="1" w:checkStyle="0"/>
  <w:activeWritingStyle w:appName="MSWord" w:lang="es-ES_tradnl"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35F"/>
    <w:rsid w:val="00000327"/>
    <w:rsid w:val="00006BD7"/>
    <w:rsid w:val="00007643"/>
    <w:rsid w:val="0001087E"/>
    <w:rsid w:val="00013F68"/>
    <w:rsid w:val="00015D82"/>
    <w:rsid w:val="000208AF"/>
    <w:rsid w:val="00020973"/>
    <w:rsid w:val="00022FD2"/>
    <w:rsid w:val="00026EC7"/>
    <w:rsid w:val="00027700"/>
    <w:rsid w:val="00027CB8"/>
    <w:rsid w:val="00031C6B"/>
    <w:rsid w:val="00035E22"/>
    <w:rsid w:val="00040EE9"/>
    <w:rsid w:val="00043819"/>
    <w:rsid w:val="000468BA"/>
    <w:rsid w:val="00047F5C"/>
    <w:rsid w:val="000519B2"/>
    <w:rsid w:val="00051AF8"/>
    <w:rsid w:val="0006245E"/>
    <w:rsid w:val="000678BA"/>
    <w:rsid w:val="00067ED8"/>
    <w:rsid w:val="000700BA"/>
    <w:rsid w:val="00072733"/>
    <w:rsid w:val="00081370"/>
    <w:rsid w:val="00081BFF"/>
    <w:rsid w:val="00081FAE"/>
    <w:rsid w:val="00082DD6"/>
    <w:rsid w:val="000845A9"/>
    <w:rsid w:val="00090D71"/>
    <w:rsid w:val="0009242B"/>
    <w:rsid w:val="00095F29"/>
    <w:rsid w:val="000B0D04"/>
    <w:rsid w:val="000B144A"/>
    <w:rsid w:val="000B2C08"/>
    <w:rsid w:val="000B5DFD"/>
    <w:rsid w:val="000C5B74"/>
    <w:rsid w:val="000C5DCF"/>
    <w:rsid w:val="000D0724"/>
    <w:rsid w:val="000D4A39"/>
    <w:rsid w:val="000E040A"/>
    <w:rsid w:val="000E106A"/>
    <w:rsid w:val="000E2109"/>
    <w:rsid w:val="000E34E1"/>
    <w:rsid w:val="000E4991"/>
    <w:rsid w:val="000E58B2"/>
    <w:rsid w:val="000E5FC6"/>
    <w:rsid w:val="000E616C"/>
    <w:rsid w:val="000F0C0D"/>
    <w:rsid w:val="000F27E8"/>
    <w:rsid w:val="000F40BB"/>
    <w:rsid w:val="000F5A2A"/>
    <w:rsid w:val="000F7F69"/>
    <w:rsid w:val="00101484"/>
    <w:rsid w:val="00102D8C"/>
    <w:rsid w:val="00104E77"/>
    <w:rsid w:val="00105369"/>
    <w:rsid w:val="00110B91"/>
    <w:rsid w:val="00117E5E"/>
    <w:rsid w:val="001255FF"/>
    <w:rsid w:val="001300A5"/>
    <w:rsid w:val="00136685"/>
    <w:rsid w:val="001418C8"/>
    <w:rsid w:val="00144518"/>
    <w:rsid w:val="0014516B"/>
    <w:rsid w:val="0015128E"/>
    <w:rsid w:val="0015238D"/>
    <w:rsid w:val="00154C5A"/>
    <w:rsid w:val="0015563F"/>
    <w:rsid w:val="001630DD"/>
    <w:rsid w:val="00163424"/>
    <w:rsid w:val="001668F0"/>
    <w:rsid w:val="00166A68"/>
    <w:rsid w:val="001717BE"/>
    <w:rsid w:val="00173239"/>
    <w:rsid w:val="00176140"/>
    <w:rsid w:val="001766DC"/>
    <w:rsid w:val="001802B7"/>
    <w:rsid w:val="001838A7"/>
    <w:rsid w:val="00184101"/>
    <w:rsid w:val="00184ADE"/>
    <w:rsid w:val="00191D05"/>
    <w:rsid w:val="00192F39"/>
    <w:rsid w:val="0019644A"/>
    <w:rsid w:val="00196A1C"/>
    <w:rsid w:val="001A2DBD"/>
    <w:rsid w:val="001A3BE4"/>
    <w:rsid w:val="001A5912"/>
    <w:rsid w:val="001A7484"/>
    <w:rsid w:val="001B1BC9"/>
    <w:rsid w:val="001B2417"/>
    <w:rsid w:val="001C20D8"/>
    <w:rsid w:val="001C67B1"/>
    <w:rsid w:val="001D3215"/>
    <w:rsid w:val="001D4B38"/>
    <w:rsid w:val="001D61D8"/>
    <w:rsid w:val="001E048B"/>
    <w:rsid w:val="001E06CC"/>
    <w:rsid w:val="001E0921"/>
    <w:rsid w:val="001E0D94"/>
    <w:rsid w:val="001E3DA8"/>
    <w:rsid w:val="001E7B0F"/>
    <w:rsid w:val="001E7CA2"/>
    <w:rsid w:val="001F34E6"/>
    <w:rsid w:val="001F4071"/>
    <w:rsid w:val="001F41C3"/>
    <w:rsid w:val="001F5EFD"/>
    <w:rsid w:val="00200553"/>
    <w:rsid w:val="00204C31"/>
    <w:rsid w:val="00213815"/>
    <w:rsid w:val="00214D51"/>
    <w:rsid w:val="00215641"/>
    <w:rsid w:val="00215BC1"/>
    <w:rsid w:val="00215D06"/>
    <w:rsid w:val="00220526"/>
    <w:rsid w:val="00227CDB"/>
    <w:rsid w:val="002316E9"/>
    <w:rsid w:val="00232E98"/>
    <w:rsid w:val="00234DCB"/>
    <w:rsid w:val="002359CD"/>
    <w:rsid w:val="0023686A"/>
    <w:rsid w:val="00237769"/>
    <w:rsid w:val="00240240"/>
    <w:rsid w:val="00241297"/>
    <w:rsid w:val="00241B28"/>
    <w:rsid w:val="0024347E"/>
    <w:rsid w:val="0024392C"/>
    <w:rsid w:val="00243F90"/>
    <w:rsid w:val="0024565D"/>
    <w:rsid w:val="00247DBF"/>
    <w:rsid w:val="002505EC"/>
    <w:rsid w:val="002558C4"/>
    <w:rsid w:val="002560DB"/>
    <w:rsid w:val="002576BC"/>
    <w:rsid w:val="00262F1B"/>
    <w:rsid w:val="00263BE6"/>
    <w:rsid w:val="0026519A"/>
    <w:rsid w:val="00270717"/>
    <w:rsid w:val="002707A7"/>
    <w:rsid w:val="00273D34"/>
    <w:rsid w:val="00273D4A"/>
    <w:rsid w:val="002744C5"/>
    <w:rsid w:val="00276AF3"/>
    <w:rsid w:val="0027748B"/>
    <w:rsid w:val="002820A0"/>
    <w:rsid w:val="00282145"/>
    <w:rsid w:val="002873C7"/>
    <w:rsid w:val="002927F4"/>
    <w:rsid w:val="00293843"/>
    <w:rsid w:val="00293A8F"/>
    <w:rsid w:val="002947BB"/>
    <w:rsid w:val="002A0A3B"/>
    <w:rsid w:val="002B1B7E"/>
    <w:rsid w:val="002B43DA"/>
    <w:rsid w:val="002C0A69"/>
    <w:rsid w:val="002C40F1"/>
    <w:rsid w:val="002D25D1"/>
    <w:rsid w:val="002D38CA"/>
    <w:rsid w:val="002D4E26"/>
    <w:rsid w:val="002D6C88"/>
    <w:rsid w:val="002E55FC"/>
    <w:rsid w:val="002F0C7B"/>
    <w:rsid w:val="002F3DCB"/>
    <w:rsid w:val="002F4D3B"/>
    <w:rsid w:val="002F6E20"/>
    <w:rsid w:val="002F70A8"/>
    <w:rsid w:val="002F7524"/>
    <w:rsid w:val="00302FFF"/>
    <w:rsid w:val="003036AC"/>
    <w:rsid w:val="00304E51"/>
    <w:rsid w:val="00313289"/>
    <w:rsid w:val="00313C84"/>
    <w:rsid w:val="00313D19"/>
    <w:rsid w:val="00320182"/>
    <w:rsid w:val="003249A8"/>
    <w:rsid w:val="00327345"/>
    <w:rsid w:val="003340F1"/>
    <w:rsid w:val="00335F04"/>
    <w:rsid w:val="00337017"/>
    <w:rsid w:val="00342361"/>
    <w:rsid w:val="00356785"/>
    <w:rsid w:val="00360EA4"/>
    <w:rsid w:val="00361E9B"/>
    <w:rsid w:val="00363BD9"/>
    <w:rsid w:val="003653EA"/>
    <w:rsid w:val="00374DD5"/>
    <w:rsid w:val="00377350"/>
    <w:rsid w:val="00377A2A"/>
    <w:rsid w:val="00384974"/>
    <w:rsid w:val="003852DE"/>
    <w:rsid w:val="00385354"/>
    <w:rsid w:val="00385A87"/>
    <w:rsid w:val="00392E51"/>
    <w:rsid w:val="003950C7"/>
    <w:rsid w:val="003A413C"/>
    <w:rsid w:val="003A54D1"/>
    <w:rsid w:val="003A76D9"/>
    <w:rsid w:val="003A7779"/>
    <w:rsid w:val="003A7DF9"/>
    <w:rsid w:val="003B130B"/>
    <w:rsid w:val="003B433B"/>
    <w:rsid w:val="003B54A0"/>
    <w:rsid w:val="003B6A0E"/>
    <w:rsid w:val="003C2755"/>
    <w:rsid w:val="003C3FB6"/>
    <w:rsid w:val="003C60A8"/>
    <w:rsid w:val="003D035A"/>
    <w:rsid w:val="003D3232"/>
    <w:rsid w:val="003D5879"/>
    <w:rsid w:val="003D71A2"/>
    <w:rsid w:val="003D7A3D"/>
    <w:rsid w:val="003E0E95"/>
    <w:rsid w:val="003E57F6"/>
    <w:rsid w:val="003E6582"/>
    <w:rsid w:val="003E6F11"/>
    <w:rsid w:val="003E7972"/>
    <w:rsid w:val="003F2C52"/>
    <w:rsid w:val="003F5CB8"/>
    <w:rsid w:val="003F60AD"/>
    <w:rsid w:val="00404792"/>
    <w:rsid w:val="0040491F"/>
    <w:rsid w:val="0040528F"/>
    <w:rsid w:val="00405D30"/>
    <w:rsid w:val="0040781F"/>
    <w:rsid w:val="00410795"/>
    <w:rsid w:val="00413441"/>
    <w:rsid w:val="00420802"/>
    <w:rsid w:val="004226FC"/>
    <w:rsid w:val="00426967"/>
    <w:rsid w:val="0042767E"/>
    <w:rsid w:val="00430BE2"/>
    <w:rsid w:val="004316F9"/>
    <w:rsid w:val="004318C4"/>
    <w:rsid w:val="004331F6"/>
    <w:rsid w:val="00433F8E"/>
    <w:rsid w:val="004340BE"/>
    <w:rsid w:val="00435358"/>
    <w:rsid w:val="00436EF5"/>
    <w:rsid w:val="00441216"/>
    <w:rsid w:val="00442066"/>
    <w:rsid w:val="004437E7"/>
    <w:rsid w:val="00443FED"/>
    <w:rsid w:val="00446AFD"/>
    <w:rsid w:val="00447596"/>
    <w:rsid w:val="00450831"/>
    <w:rsid w:val="004518F9"/>
    <w:rsid w:val="00454DFD"/>
    <w:rsid w:val="00455351"/>
    <w:rsid w:val="00457974"/>
    <w:rsid w:val="00463ACA"/>
    <w:rsid w:val="00464397"/>
    <w:rsid w:val="00465601"/>
    <w:rsid w:val="00472160"/>
    <w:rsid w:val="00472CB8"/>
    <w:rsid w:val="0047558E"/>
    <w:rsid w:val="0048139A"/>
    <w:rsid w:val="0048339E"/>
    <w:rsid w:val="004841A5"/>
    <w:rsid w:val="004844C2"/>
    <w:rsid w:val="00485866"/>
    <w:rsid w:val="00485FC1"/>
    <w:rsid w:val="00490C29"/>
    <w:rsid w:val="00491812"/>
    <w:rsid w:val="00492A7F"/>
    <w:rsid w:val="004933D0"/>
    <w:rsid w:val="0049710C"/>
    <w:rsid w:val="004A5C39"/>
    <w:rsid w:val="004A5C8E"/>
    <w:rsid w:val="004B74CA"/>
    <w:rsid w:val="004C209E"/>
    <w:rsid w:val="004C2E0A"/>
    <w:rsid w:val="004C3B7D"/>
    <w:rsid w:val="004C508D"/>
    <w:rsid w:val="004D51A0"/>
    <w:rsid w:val="004D6057"/>
    <w:rsid w:val="004D6363"/>
    <w:rsid w:val="004D6778"/>
    <w:rsid w:val="004E2012"/>
    <w:rsid w:val="004E2545"/>
    <w:rsid w:val="004E3831"/>
    <w:rsid w:val="004E3C5E"/>
    <w:rsid w:val="004F179B"/>
    <w:rsid w:val="004F3E95"/>
    <w:rsid w:val="004F4162"/>
    <w:rsid w:val="004F5799"/>
    <w:rsid w:val="004F67AD"/>
    <w:rsid w:val="004F6BCC"/>
    <w:rsid w:val="00500512"/>
    <w:rsid w:val="005024F7"/>
    <w:rsid w:val="005064FC"/>
    <w:rsid w:val="00506FA7"/>
    <w:rsid w:val="005078C7"/>
    <w:rsid w:val="00515FCC"/>
    <w:rsid w:val="00516A83"/>
    <w:rsid w:val="0052142C"/>
    <w:rsid w:val="005235FF"/>
    <w:rsid w:val="00525522"/>
    <w:rsid w:val="0052564D"/>
    <w:rsid w:val="005256B0"/>
    <w:rsid w:val="00526815"/>
    <w:rsid w:val="00530A86"/>
    <w:rsid w:val="005354B7"/>
    <w:rsid w:val="0053584A"/>
    <w:rsid w:val="0054228B"/>
    <w:rsid w:val="00544A28"/>
    <w:rsid w:val="00544A79"/>
    <w:rsid w:val="005525AA"/>
    <w:rsid w:val="00552B32"/>
    <w:rsid w:val="005543DD"/>
    <w:rsid w:val="00557F01"/>
    <w:rsid w:val="005629E4"/>
    <w:rsid w:val="00562EB6"/>
    <w:rsid w:val="00564B84"/>
    <w:rsid w:val="0056556D"/>
    <w:rsid w:val="00566CCB"/>
    <w:rsid w:val="00570988"/>
    <w:rsid w:val="00571DA3"/>
    <w:rsid w:val="00574591"/>
    <w:rsid w:val="00575E56"/>
    <w:rsid w:val="0058251A"/>
    <w:rsid w:val="005833CA"/>
    <w:rsid w:val="00583FD9"/>
    <w:rsid w:val="00585031"/>
    <w:rsid w:val="00592382"/>
    <w:rsid w:val="00594163"/>
    <w:rsid w:val="00595F48"/>
    <w:rsid w:val="005A1B14"/>
    <w:rsid w:val="005A51E2"/>
    <w:rsid w:val="005A6E9D"/>
    <w:rsid w:val="005A7B01"/>
    <w:rsid w:val="005B1BE4"/>
    <w:rsid w:val="005B4F11"/>
    <w:rsid w:val="005B60DC"/>
    <w:rsid w:val="005B6919"/>
    <w:rsid w:val="005B7BAA"/>
    <w:rsid w:val="005C00F4"/>
    <w:rsid w:val="005C095B"/>
    <w:rsid w:val="005C2279"/>
    <w:rsid w:val="005C2729"/>
    <w:rsid w:val="005C473C"/>
    <w:rsid w:val="005C4EE0"/>
    <w:rsid w:val="005C6E59"/>
    <w:rsid w:val="005D3521"/>
    <w:rsid w:val="005D4384"/>
    <w:rsid w:val="005D4421"/>
    <w:rsid w:val="005D68AB"/>
    <w:rsid w:val="005E2FC0"/>
    <w:rsid w:val="005E50BB"/>
    <w:rsid w:val="005E6D6B"/>
    <w:rsid w:val="005E78C2"/>
    <w:rsid w:val="005F1E3B"/>
    <w:rsid w:val="005F1FCB"/>
    <w:rsid w:val="00600B4E"/>
    <w:rsid w:val="00602FD5"/>
    <w:rsid w:val="00603AE2"/>
    <w:rsid w:val="0060422A"/>
    <w:rsid w:val="006044E1"/>
    <w:rsid w:val="00605F93"/>
    <w:rsid w:val="0060684E"/>
    <w:rsid w:val="00607225"/>
    <w:rsid w:val="00607E3D"/>
    <w:rsid w:val="00611A2B"/>
    <w:rsid w:val="00620BD5"/>
    <w:rsid w:val="00621046"/>
    <w:rsid w:val="00630863"/>
    <w:rsid w:val="0063512E"/>
    <w:rsid w:val="00635CDE"/>
    <w:rsid w:val="00640B67"/>
    <w:rsid w:val="00641623"/>
    <w:rsid w:val="00641AA8"/>
    <w:rsid w:val="00644546"/>
    <w:rsid w:val="006510AB"/>
    <w:rsid w:val="00652318"/>
    <w:rsid w:val="00657AD8"/>
    <w:rsid w:val="0066011E"/>
    <w:rsid w:val="00660501"/>
    <w:rsid w:val="00665758"/>
    <w:rsid w:val="00672AFB"/>
    <w:rsid w:val="00672C95"/>
    <w:rsid w:val="00673A68"/>
    <w:rsid w:val="00675CC9"/>
    <w:rsid w:val="00680B9B"/>
    <w:rsid w:val="0068355E"/>
    <w:rsid w:val="00683967"/>
    <w:rsid w:val="00684EAF"/>
    <w:rsid w:val="00686C0D"/>
    <w:rsid w:val="006941BE"/>
    <w:rsid w:val="00695074"/>
    <w:rsid w:val="006A155E"/>
    <w:rsid w:val="006A171D"/>
    <w:rsid w:val="006A4128"/>
    <w:rsid w:val="006A7954"/>
    <w:rsid w:val="006C5972"/>
    <w:rsid w:val="006D1D30"/>
    <w:rsid w:val="006D263F"/>
    <w:rsid w:val="006D4D93"/>
    <w:rsid w:val="006D5D24"/>
    <w:rsid w:val="006D7D5B"/>
    <w:rsid w:val="006E00E3"/>
    <w:rsid w:val="006E0852"/>
    <w:rsid w:val="006E1E55"/>
    <w:rsid w:val="006E5B7E"/>
    <w:rsid w:val="006E7CB0"/>
    <w:rsid w:val="006F0B28"/>
    <w:rsid w:val="006F2490"/>
    <w:rsid w:val="006F40FC"/>
    <w:rsid w:val="006F470F"/>
    <w:rsid w:val="006F4D6A"/>
    <w:rsid w:val="006F5965"/>
    <w:rsid w:val="006F5F66"/>
    <w:rsid w:val="00700C2E"/>
    <w:rsid w:val="00700DBD"/>
    <w:rsid w:val="00700F8C"/>
    <w:rsid w:val="007010EF"/>
    <w:rsid w:val="00703AFD"/>
    <w:rsid w:val="0070431A"/>
    <w:rsid w:val="00705867"/>
    <w:rsid w:val="00706208"/>
    <w:rsid w:val="00707382"/>
    <w:rsid w:val="00707CBF"/>
    <w:rsid w:val="0071314C"/>
    <w:rsid w:val="0072036B"/>
    <w:rsid w:val="007233B1"/>
    <w:rsid w:val="00723C81"/>
    <w:rsid w:val="007320F2"/>
    <w:rsid w:val="00733A6E"/>
    <w:rsid w:val="0073515A"/>
    <w:rsid w:val="00736087"/>
    <w:rsid w:val="00737396"/>
    <w:rsid w:val="00740604"/>
    <w:rsid w:val="007432BE"/>
    <w:rsid w:val="00743461"/>
    <w:rsid w:val="00745E28"/>
    <w:rsid w:val="00746BC4"/>
    <w:rsid w:val="00754A5B"/>
    <w:rsid w:val="00756B5E"/>
    <w:rsid w:val="007617AE"/>
    <w:rsid w:val="00762BF6"/>
    <w:rsid w:val="00763301"/>
    <w:rsid w:val="00763E3E"/>
    <w:rsid w:val="00765D9C"/>
    <w:rsid w:val="00771563"/>
    <w:rsid w:val="00773014"/>
    <w:rsid w:val="00773F92"/>
    <w:rsid w:val="007766D8"/>
    <w:rsid w:val="0078061D"/>
    <w:rsid w:val="00781E27"/>
    <w:rsid w:val="0078319A"/>
    <w:rsid w:val="00783A37"/>
    <w:rsid w:val="00784958"/>
    <w:rsid w:val="00790802"/>
    <w:rsid w:val="00794393"/>
    <w:rsid w:val="007966F3"/>
    <w:rsid w:val="007A2132"/>
    <w:rsid w:val="007A3912"/>
    <w:rsid w:val="007A4DF0"/>
    <w:rsid w:val="007A626C"/>
    <w:rsid w:val="007A6B98"/>
    <w:rsid w:val="007B27D0"/>
    <w:rsid w:val="007B35B3"/>
    <w:rsid w:val="007B5AC3"/>
    <w:rsid w:val="007C4BAC"/>
    <w:rsid w:val="007D79D9"/>
    <w:rsid w:val="007E0445"/>
    <w:rsid w:val="007E06C0"/>
    <w:rsid w:val="007E0736"/>
    <w:rsid w:val="007E1E73"/>
    <w:rsid w:val="007E4135"/>
    <w:rsid w:val="007E7B2B"/>
    <w:rsid w:val="007E7DF6"/>
    <w:rsid w:val="007F1653"/>
    <w:rsid w:val="007F204D"/>
    <w:rsid w:val="007F4041"/>
    <w:rsid w:val="007F5289"/>
    <w:rsid w:val="007F691F"/>
    <w:rsid w:val="007F6B65"/>
    <w:rsid w:val="007F788E"/>
    <w:rsid w:val="00803E6E"/>
    <w:rsid w:val="00805DFC"/>
    <w:rsid w:val="00810E0F"/>
    <w:rsid w:val="00815640"/>
    <w:rsid w:val="00817F78"/>
    <w:rsid w:val="00822DCA"/>
    <w:rsid w:val="00825CBD"/>
    <w:rsid w:val="00825EEC"/>
    <w:rsid w:val="00830F0E"/>
    <w:rsid w:val="00832017"/>
    <w:rsid w:val="00832A74"/>
    <w:rsid w:val="00833660"/>
    <w:rsid w:val="0083558F"/>
    <w:rsid w:val="0084560D"/>
    <w:rsid w:val="00845FD1"/>
    <w:rsid w:val="008504AB"/>
    <w:rsid w:val="008526BC"/>
    <w:rsid w:val="00856475"/>
    <w:rsid w:val="00864AFA"/>
    <w:rsid w:val="00864C09"/>
    <w:rsid w:val="00865B1C"/>
    <w:rsid w:val="00866316"/>
    <w:rsid w:val="0087163E"/>
    <w:rsid w:val="008813EC"/>
    <w:rsid w:val="00882ACD"/>
    <w:rsid w:val="0088335B"/>
    <w:rsid w:val="0088535F"/>
    <w:rsid w:val="00885B55"/>
    <w:rsid w:val="00885C93"/>
    <w:rsid w:val="00885D4A"/>
    <w:rsid w:val="00886180"/>
    <w:rsid w:val="008874B4"/>
    <w:rsid w:val="00894176"/>
    <w:rsid w:val="0089523E"/>
    <w:rsid w:val="008A1655"/>
    <w:rsid w:val="008A30C6"/>
    <w:rsid w:val="008A35D1"/>
    <w:rsid w:val="008A417C"/>
    <w:rsid w:val="008A6AE4"/>
    <w:rsid w:val="008B1B78"/>
    <w:rsid w:val="008B1C91"/>
    <w:rsid w:val="008B40AA"/>
    <w:rsid w:val="008B5ECF"/>
    <w:rsid w:val="008B62C2"/>
    <w:rsid w:val="008B7493"/>
    <w:rsid w:val="008C0156"/>
    <w:rsid w:val="008C20C7"/>
    <w:rsid w:val="008C6906"/>
    <w:rsid w:val="008D0533"/>
    <w:rsid w:val="008D2A1C"/>
    <w:rsid w:val="008D39DA"/>
    <w:rsid w:val="008D4CE8"/>
    <w:rsid w:val="008D6D12"/>
    <w:rsid w:val="008E01C8"/>
    <w:rsid w:val="008E6C0D"/>
    <w:rsid w:val="008F02F5"/>
    <w:rsid w:val="008F0393"/>
    <w:rsid w:val="008F1AAE"/>
    <w:rsid w:val="008F79A9"/>
    <w:rsid w:val="0090134E"/>
    <w:rsid w:val="00902867"/>
    <w:rsid w:val="009028B3"/>
    <w:rsid w:val="00905B26"/>
    <w:rsid w:val="00906049"/>
    <w:rsid w:val="0091205B"/>
    <w:rsid w:val="00914850"/>
    <w:rsid w:val="009175F3"/>
    <w:rsid w:val="00917EEC"/>
    <w:rsid w:val="00923593"/>
    <w:rsid w:val="00923AD0"/>
    <w:rsid w:val="0092558B"/>
    <w:rsid w:val="009261C5"/>
    <w:rsid w:val="00927F7F"/>
    <w:rsid w:val="00934465"/>
    <w:rsid w:val="009356C3"/>
    <w:rsid w:val="009428FA"/>
    <w:rsid w:val="00944016"/>
    <w:rsid w:val="00946EA6"/>
    <w:rsid w:val="00953877"/>
    <w:rsid w:val="009546D7"/>
    <w:rsid w:val="00956957"/>
    <w:rsid w:val="00962989"/>
    <w:rsid w:val="0096339C"/>
    <w:rsid w:val="00965593"/>
    <w:rsid w:val="009668D5"/>
    <w:rsid w:val="009709E3"/>
    <w:rsid w:val="0097157B"/>
    <w:rsid w:val="00971F8B"/>
    <w:rsid w:val="00972D00"/>
    <w:rsid w:val="00973956"/>
    <w:rsid w:val="00973B31"/>
    <w:rsid w:val="0097494E"/>
    <w:rsid w:val="00977048"/>
    <w:rsid w:val="009841C0"/>
    <w:rsid w:val="0099026F"/>
    <w:rsid w:val="0099249A"/>
    <w:rsid w:val="00993550"/>
    <w:rsid w:val="0099656C"/>
    <w:rsid w:val="009A0290"/>
    <w:rsid w:val="009A035F"/>
    <w:rsid w:val="009A675B"/>
    <w:rsid w:val="009A7335"/>
    <w:rsid w:val="009B0200"/>
    <w:rsid w:val="009B1AC1"/>
    <w:rsid w:val="009B592E"/>
    <w:rsid w:val="009B5BA2"/>
    <w:rsid w:val="009B7878"/>
    <w:rsid w:val="009C551B"/>
    <w:rsid w:val="009C74DB"/>
    <w:rsid w:val="009C7C45"/>
    <w:rsid w:val="009D3C34"/>
    <w:rsid w:val="009D6FB1"/>
    <w:rsid w:val="009E0B1F"/>
    <w:rsid w:val="009E101F"/>
    <w:rsid w:val="009E7B4C"/>
    <w:rsid w:val="009F326A"/>
    <w:rsid w:val="009F5E1E"/>
    <w:rsid w:val="009F6256"/>
    <w:rsid w:val="009F70C7"/>
    <w:rsid w:val="00A00339"/>
    <w:rsid w:val="00A0290B"/>
    <w:rsid w:val="00A03AB5"/>
    <w:rsid w:val="00A10CB7"/>
    <w:rsid w:val="00A11054"/>
    <w:rsid w:val="00A1170A"/>
    <w:rsid w:val="00A1328B"/>
    <w:rsid w:val="00A1369E"/>
    <w:rsid w:val="00A24A31"/>
    <w:rsid w:val="00A2566F"/>
    <w:rsid w:val="00A27B40"/>
    <w:rsid w:val="00A301DB"/>
    <w:rsid w:val="00A32772"/>
    <w:rsid w:val="00A32870"/>
    <w:rsid w:val="00A33360"/>
    <w:rsid w:val="00A33E29"/>
    <w:rsid w:val="00A35115"/>
    <w:rsid w:val="00A35398"/>
    <w:rsid w:val="00A36DF1"/>
    <w:rsid w:val="00A44915"/>
    <w:rsid w:val="00A44FF4"/>
    <w:rsid w:val="00A4543C"/>
    <w:rsid w:val="00A475AD"/>
    <w:rsid w:val="00A516D3"/>
    <w:rsid w:val="00A51950"/>
    <w:rsid w:val="00A55908"/>
    <w:rsid w:val="00A6038C"/>
    <w:rsid w:val="00A60426"/>
    <w:rsid w:val="00A615F5"/>
    <w:rsid w:val="00A64DFB"/>
    <w:rsid w:val="00A70740"/>
    <w:rsid w:val="00A70747"/>
    <w:rsid w:val="00A7267C"/>
    <w:rsid w:val="00A8032B"/>
    <w:rsid w:val="00A81411"/>
    <w:rsid w:val="00A839E9"/>
    <w:rsid w:val="00A84CDF"/>
    <w:rsid w:val="00A93DC1"/>
    <w:rsid w:val="00AA05C5"/>
    <w:rsid w:val="00AA3045"/>
    <w:rsid w:val="00AA4FC0"/>
    <w:rsid w:val="00AA60EF"/>
    <w:rsid w:val="00AA6855"/>
    <w:rsid w:val="00AA7745"/>
    <w:rsid w:val="00AB420E"/>
    <w:rsid w:val="00AC2D7E"/>
    <w:rsid w:val="00AC360E"/>
    <w:rsid w:val="00AC3A9E"/>
    <w:rsid w:val="00AC539A"/>
    <w:rsid w:val="00AD0B94"/>
    <w:rsid w:val="00AE028B"/>
    <w:rsid w:val="00AE18A0"/>
    <w:rsid w:val="00AE254A"/>
    <w:rsid w:val="00AE3AE1"/>
    <w:rsid w:val="00AE5EBF"/>
    <w:rsid w:val="00AE6CDE"/>
    <w:rsid w:val="00AF1161"/>
    <w:rsid w:val="00AF495D"/>
    <w:rsid w:val="00AF7742"/>
    <w:rsid w:val="00B0002E"/>
    <w:rsid w:val="00B00F9C"/>
    <w:rsid w:val="00B03B67"/>
    <w:rsid w:val="00B04AD5"/>
    <w:rsid w:val="00B11282"/>
    <w:rsid w:val="00B11FFD"/>
    <w:rsid w:val="00B136CC"/>
    <w:rsid w:val="00B211D8"/>
    <w:rsid w:val="00B258AA"/>
    <w:rsid w:val="00B26372"/>
    <w:rsid w:val="00B302B6"/>
    <w:rsid w:val="00B3080C"/>
    <w:rsid w:val="00B325DB"/>
    <w:rsid w:val="00B35718"/>
    <w:rsid w:val="00B35B18"/>
    <w:rsid w:val="00B36C10"/>
    <w:rsid w:val="00B4221D"/>
    <w:rsid w:val="00B46761"/>
    <w:rsid w:val="00B51C1E"/>
    <w:rsid w:val="00B52E3C"/>
    <w:rsid w:val="00B530B3"/>
    <w:rsid w:val="00B535FC"/>
    <w:rsid w:val="00B6116D"/>
    <w:rsid w:val="00B61E35"/>
    <w:rsid w:val="00B65789"/>
    <w:rsid w:val="00B66074"/>
    <w:rsid w:val="00B70F2C"/>
    <w:rsid w:val="00B73326"/>
    <w:rsid w:val="00B75C9B"/>
    <w:rsid w:val="00B76C7A"/>
    <w:rsid w:val="00B85824"/>
    <w:rsid w:val="00B92688"/>
    <w:rsid w:val="00B95462"/>
    <w:rsid w:val="00BA108F"/>
    <w:rsid w:val="00BB760D"/>
    <w:rsid w:val="00BC030E"/>
    <w:rsid w:val="00BC0352"/>
    <w:rsid w:val="00BC23DA"/>
    <w:rsid w:val="00BD0DCA"/>
    <w:rsid w:val="00BD2190"/>
    <w:rsid w:val="00BD27E4"/>
    <w:rsid w:val="00BD7438"/>
    <w:rsid w:val="00BE1A15"/>
    <w:rsid w:val="00BE2028"/>
    <w:rsid w:val="00BE2691"/>
    <w:rsid w:val="00BE3293"/>
    <w:rsid w:val="00BE4B91"/>
    <w:rsid w:val="00BE4C9C"/>
    <w:rsid w:val="00BE5437"/>
    <w:rsid w:val="00BE7238"/>
    <w:rsid w:val="00BE7C68"/>
    <w:rsid w:val="00BF54E9"/>
    <w:rsid w:val="00BF5721"/>
    <w:rsid w:val="00BF5FBF"/>
    <w:rsid w:val="00C02CF6"/>
    <w:rsid w:val="00C14611"/>
    <w:rsid w:val="00C15647"/>
    <w:rsid w:val="00C15B57"/>
    <w:rsid w:val="00C1687D"/>
    <w:rsid w:val="00C25E84"/>
    <w:rsid w:val="00C26773"/>
    <w:rsid w:val="00C274C3"/>
    <w:rsid w:val="00C277EC"/>
    <w:rsid w:val="00C31C39"/>
    <w:rsid w:val="00C32F53"/>
    <w:rsid w:val="00C35C01"/>
    <w:rsid w:val="00C43214"/>
    <w:rsid w:val="00C44491"/>
    <w:rsid w:val="00C46848"/>
    <w:rsid w:val="00C50068"/>
    <w:rsid w:val="00C508C3"/>
    <w:rsid w:val="00C50B2D"/>
    <w:rsid w:val="00C5187C"/>
    <w:rsid w:val="00C51E94"/>
    <w:rsid w:val="00C55841"/>
    <w:rsid w:val="00C64C62"/>
    <w:rsid w:val="00C65239"/>
    <w:rsid w:val="00C65756"/>
    <w:rsid w:val="00C7205A"/>
    <w:rsid w:val="00C73055"/>
    <w:rsid w:val="00C74231"/>
    <w:rsid w:val="00C7623B"/>
    <w:rsid w:val="00C77DC0"/>
    <w:rsid w:val="00C806D7"/>
    <w:rsid w:val="00C80E39"/>
    <w:rsid w:val="00C815F2"/>
    <w:rsid w:val="00C835A0"/>
    <w:rsid w:val="00C868A7"/>
    <w:rsid w:val="00C92C89"/>
    <w:rsid w:val="00C9450B"/>
    <w:rsid w:val="00C94C9F"/>
    <w:rsid w:val="00CA0497"/>
    <w:rsid w:val="00CA17F4"/>
    <w:rsid w:val="00CB2FA2"/>
    <w:rsid w:val="00CB38C8"/>
    <w:rsid w:val="00CB6056"/>
    <w:rsid w:val="00CC0E6B"/>
    <w:rsid w:val="00CC1718"/>
    <w:rsid w:val="00CC2F54"/>
    <w:rsid w:val="00CC3407"/>
    <w:rsid w:val="00CC4C6D"/>
    <w:rsid w:val="00CC5494"/>
    <w:rsid w:val="00CC6199"/>
    <w:rsid w:val="00CD2306"/>
    <w:rsid w:val="00CE162E"/>
    <w:rsid w:val="00CE265D"/>
    <w:rsid w:val="00CE4DBB"/>
    <w:rsid w:val="00CF63DD"/>
    <w:rsid w:val="00CF7099"/>
    <w:rsid w:val="00D012A3"/>
    <w:rsid w:val="00D01F35"/>
    <w:rsid w:val="00D06C7A"/>
    <w:rsid w:val="00D10219"/>
    <w:rsid w:val="00D11B71"/>
    <w:rsid w:val="00D12286"/>
    <w:rsid w:val="00D12BD0"/>
    <w:rsid w:val="00D13EB9"/>
    <w:rsid w:val="00D1639D"/>
    <w:rsid w:val="00D20C7F"/>
    <w:rsid w:val="00D275E6"/>
    <w:rsid w:val="00D276B5"/>
    <w:rsid w:val="00D30149"/>
    <w:rsid w:val="00D30228"/>
    <w:rsid w:val="00D3602C"/>
    <w:rsid w:val="00D36F45"/>
    <w:rsid w:val="00D3734C"/>
    <w:rsid w:val="00D42674"/>
    <w:rsid w:val="00D46E52"/>
    <w:rsid w:val="00D50ACB"/>
    <w:rsid w:val="00D51FD2"/>
    <w:rsid w:val="00D53E83"/>
    <w:rsid w:val="00D55041"/>
    <w:rsid w:val="00D5565F"/>
    <w:rsid w:val="00D55787"/>
    <w:rsid w:val="00D57C8C"/>
    <w:rsid w:val="00D67DBC"/>
    <w:rsid w:val="00D7403B"/>
    <w:rsid w:val="00D7525A"/>
    <w:rsid w:val="00D77780"/>
    <w:rsid w:val="00D81985"/>
    <w:rsid w:val="00D8417D"/>
    <w:rsid w:val="00D8474A"/>
    <w:rsid w:val="00D85EB3"/>
    <w:rsid w:val="00D91258"/>
    <w:rsid w:val="00D913FF"/>
    <w:rsid w:val="00D91E04"/>
    <w:rsid w:val="00D947F8"/>
    <w:rsid w:val="00D9700E"/>
    <w:rsid w:val="00D97F82"/>
    <w:rsid w:val="00DA0A37"/>
    <w:rsid w:val="00DA1B49"/>
    <w:rsid w:val="00DA40E4"/>
    <w:rsid w:val="00DA5084"/>
    <w:rsid w:val="00DB2AE9"/>
    <w:rsid w:val="00DB34A4"/>
    <w:rsid w:val="00DB37D8"/>
    <w:rsid w:val="00DB7CE4"/>
    <w:rsid w:val="00DC2F1E"/>
    <w:rsid w:val="00DC39C3"/>
    <w:rsid w:val="00DC3B61"/>
    <w:rsid w:val="00DD321F"/>
    <w:rsid w:val="00DD3C8D"/>
    <w:rsid w:val="00DD4631"/>
    <w:rsid w:val="00DD4F75"/>
    <w:rsid w:val="00DE3265"/>
    <w:rsid w:val="00DE557C"/>
    <w:rsid w:val="00DF1371"/>
    <w:rsid w:val="00DF2619"/>
    <w:rsid w:val="00DF5D96"/>
    <w:rsid w:val="00DF64AA"/>
    <w:rsid w:val="00DF662C"/>
    <w:rsid w:val="00E00715"/>
    <w:rsid w:val="00E0125E"/>
    <w:rsid w:val="00E041FD"/>
    <w:rsid w:val="00E059FA"/>
    <w:rsid w:val="00E06471"/>
    <w:rsid w:val="00E16E76"/>
    <w:rsid w:val="00E22054"/>
    <w:rsid w:val="00E230BE"/>
    <w:rsid w:val="00E246B8"/>
    <w:rsid w:val="00E26CD2"/>
    <w:rsid w:val="00E26FE6"/>
    <w:rsid w:val="00E279AA"/>
    <w:rsid w:val="00E40EAE"/>
    <w:rsid w:val="00E43D9A"/>
    <w:rsid w:val="00E4407C"/>
    <w:rsid w:val="00E4506D"/>
    <w:rsid w:val="00E452FE"/>
    <w:rsid w:val="00E4585A"/>
    <w:rsid w:val="00E47642"/>
    <w:rsid w:val="00E56246"/>
    <w:rsid w:val="00E56DD8"/>
    <w:rsid w:val="00E57FF1"/>
    <w:rsid w:val="00E61350"/>
    <w:rsid w:val="00E61A16"/>
    <w:rsid w:val="00E6213F"/>
    <w:rsid w:val="00E72C2B"/>
    <w:rsid w:val="00E7672B"/>
    <w:rsid w:val="00E77CD3"/>
    <w:rsid w:val="00E809AA"/>
    <w:rsid w:val="00E838E9"/>
    <w:rsid w:val="00E852A2"/>
    <w:rsid w:val="00E87209"/>
    <w:rsid w:val="00E914A4"/>
    <w:rsid w:val="00E94813"/>
    <w:rsid w:val="00E94E76"/>
    <w:rsid w:val="00EA0802"/>
    <w:rsid w:val="00EA2376"/>
    <w:rsid w:val="00EA7946"/>
    <w:rsid w:val="00EB0D0C"/>
    <w:rsid w:val="00EB32F0"/>
    <w:rsid w:val="00EB5694"/>
    <w:rsid w:val="00EC30FB"/>
    <w:rsid w:val="00ED2831"/>
    <w:rsid w:val="00ED3F76"/>
    <w:rsid w:val="00ED5342"/>
    <w:rsid w:val="00ED627E"/>
    <w:rsid w:val="00EE1384"/>
    <w:rsid w:val="00EE1A4F"/>
    <w:rsid w:val="00EE2E38"/>
    <w:rsid w:val="00EF0E2E"/>
    <w:rsid w:val="00EF61A6"/>
    <w:rsid w:val="00F03153"/>
    <w:rsid w:val="00F0455B"/>
    <w:rsid w:val="00F0479E"/>
    <w:rsid w:val="00F04CA7"/>
    <w:rsid w:val="00F06B23"/>
    <w:rsid w:val="00F13BA9"/>
    <w:rsid w:val="00F142D1"/>
    <w:rsid w:val="00F14B10"/>
    <w:rsid w:val="00F2385E"/>
    <w:rsid w:val="00F23A56"/>
    <w:rsid w:val="00F31BAB"/>
    <w:rsid w:val="00F32B45"/>
    <w:rsid w:val="00F36475"/>
    <w:rsid w:val="00F373E5"/>
    <w:rsid w:val="00F4103F"/>
    <w:rsid w:val="00F41168"/>
    <w:rsid w:val="00F42A78"/>
    <w:rsid w:val="00F51C10"/>
    <w:rsid w:val="00F53083"/>
    <w:rsid w:val="00F55B2A"/>
    <w:rsid w:val="00F5610B"/>
    <w:rsid w:val="00F61927"/>
    <w:rsid w:val="00F6499B"/>
    <w:rsid w:val="00F65801"/>
    <w:rsid w:val="00F6599E"/>
    <w:rsid w:val="00F6682F"/>
    <w:rsid w:val="00F66AFE"/>
    <w:rsid w:val="00F67660"/>
    <w:rsid w:val="00F718C5"/>
    <w:rsid w:val="00F744CC"/>
    <w:rsid w:val="00F746A2"/>
    <w:rsid w:val="00F74AA9"/>
    <w:rsid w:val="00F77B9E"/>
    <w:rsid w:val="00F804F7"/>
    <w:rsid w:val="00F80D67"/>
    <w:rsid w:val="00F810FB"/>
    <w:rsid w:val="00F820F3"/>
    <w:rsid w:val="00F82116"/>
    <w:rsid w:val="00F84F27"/>
    <w:rsid w:val="00F86107"/>
    <w:rsid w:val="00F86453"/>
    <w:rsid w:val="00F87184"/>
    <w:rsid w:val="00F874F4"/>
    <w:rsid w:val="00F87F46"/>
    <w:rsid w:val="00F90B3E"/>
    <w:rsid w:val="00F90F81"/>
    <w:rsid w:val="00F9284B"/>
    <w:rsid w:val="00F93AA8"/>
    <w:rsid w:val="00F947CD"/>
    <w:rsid w:val="00F94A02"/>
    <w:rsid w:val="00F94CBD"/>
    <w:rsid w:val="00F95B91"/>
    <w:rsid w:val="00FA5E19"/>
    <w:rsid w:val="00FA5EA7"/>
    <w:rsid w:val="00FA6481"/>
    <w:rsid w:val="00FA6771"/>
    <w:rsid w:val="00FA7842"/>
    <w:rsid w:val="00FB40F7"/>
    <w:rsid w:val="00FB5513"/>
    <w:rsid w:val="00FB677B"/>
    <w:rsid w:val="00FB73E1"/>
    <w:rsid w:val="00FC04A5"/>
    <w:rsid w:val="00FC277E"/>
    <w:rsid w:val="00FC6E96"/>
    <w:rsid w:val="00FD294D"/>
    <w:rsid w:val="00FE1985"/>
    <w:rsid w:val="00FE624C"/>
    <w:rsid w:val="00FE7636"/>
    <w:rsid w:val="00FF1A0C"/>
    <w:rsid w:val="00FF2383"/>
    <w:rsid w:val="00FF2F91"/>
    <w:rsid w:val="00FF63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38574"/>
  <w15:chartTrackingRefBased/>
  <w15:docId w15:val="{1A0C7BFA-739B-48F4-AF0C-FFDA8EF75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054"/>
    <w:rPr>
      <w:lang w:val="es-CR"/>
    </w:rPr>
  </w:style>
  <w:style w:type="paragraph" w:styleId="Titre1">
    <w:name w:val="heading 1"/>
    <w:basedOn w:val="Normal"/>
    <w:next w:val="Normal"/>
    <w:link w:val="Titre1Car"/>
    <w:uiPriority w:val="9"/>
    <w:qFormat/>
    <w:rsid w:val="00102D8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88535F"/>
    <w:pPr>
      <w:keepNext/>
      <w:widowControl w:val="0"/>
      <w:spacing w:after="0" w:line="300" w:lineRule="atLeast"/>
      <w:outlineLvl w:val="1"/>
    </w:pPr>
    <w:rPr>
      <w:rFonts w:ascii="Arial" w:eastAsia="Times" w:hAnsi="Arial" w:cs="Arial"/>
      <w:b/>
      <w:bCs/>
      <w:sz w:val="18"/>
      <w:szCs w:val="20"/>
      <w:lang w:eastAsia="fr-FR"/>
    </w:rPr>
  </w:style>
  <w:style w:type="paragraph" w:styleId="Titre3">
    <w:name w:val="heading 3"/>
    <w:basedOn w:val="Normal"/>
    <w:next w:val="Normal"/>
    <w:link w:val="Titre3Car"/>
    <w:uiPriority w:val="9"/>
    <w:semiHidden/>
    <w:unhideWhenUsed/>
    <w:qFormat/>
    <w:rsid w:val="00BE54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629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88535F"/>
    <w:rPr>
      <w:rFonts w:ascii="Arial" w:eastAsia="Times" w:hAnsi="Arial" w:cs="Arial"/>
      <w:b/>
      <w:bCs/>
      <w:sz w:val="18"/>
      <w:szCs w:val="20"/>
      <w:lang w:eastAsia="fr-FR"/>
    </w:rPr>
  </w:style>
  <w:style w:type="paragraph" w:customStyle="1" w:styleId="u">
    <w:name w:val="u"/>
    <w:basedOn w:val="Normal"/>
    <w:rsid w:val="0088535F"/>
    <w:pPr>
      <w:overflowPunct w:val="0"/>
      <w:autoSpaceDE w:val="0"/>
      <w:autoSpaceDN w:val="0"/>
      <w:adjustRightInd w:val="0"/>
      <w:spacing w:after="0" w:line="240" w:lineRule="auto"/>
      <w:ind w:left="562"/>
      <w:jc w:val="both"/>
      <w:textAlignment w:val="baseline"/>
    </w:pPr>
    <w:rPr>
      <w:rFonts w:ascii="Arial" w:eastAsia="Times New Roman" w:hAnsi="Arial" w:cs="Times New Roman"/>
      <w:szCs w:val="20"/>
      <w:lang w:eastAsia="fr-FR"/>
    </w:rPr>
  </w:style>
  <w:style w:type="paragraph" w:customStyle="1" w:styleId="TITF1">
    <w:name w:val="TITF1"/>
    <w:basedOn w:val="Normal"/>
    <w:rsid w:val="0088535F"/>
    <w:pPr>
      <w:widowControl w:val="0"/>
      <w:numPr>
        <w:ilvl w:val="12"/>
      </w:numPr>
      <w:overflowPunct w:val="0"/>
      <w:autoSpaceDE w:val="0"/>
      <w:autoSpaceDN w:val="0"/>
      <w:adjustRightInd w:val="0"/>
      <w:spacing w:after="540" w:line="240" w:lineRule="auto"/>
      <w:jc w:val="both"/>
      <w:textAlignment w:val="baseline"/>
    </w:pPr>
    <w:rPr>
      <w:rFonts w:ascii="Arial" w:eastAsia="Times New Roman" w:hAnsi="Arial" w:cs="Arial"/>
      <w:b/>
      <w:caps/>
      <w:sz w:val="20"/>
      <w:szCs w:val="20"/>
      <w:lang w:eastAsia="fr-FR"/>
    </w:rPr>
  </w:style>
  <w:style w:type="paragraph" w:styleId="Corpsdetexte">
    <w:name w:val="Body Text"/>
    <w:basedOn w:val="Normal"/>
    <w:link w:val="CorpsdetexteCar"/>
    <w:rsid w:val="0088535F"/>
    <w:pPr>
      <w:suppressAutoHyphens/>
      <w:spacing w:after="0" w:line="300" w:lineRule="atLeast"/>
    </w:pPr>
    <w:rPr>
      <w:rFonts w:ascii="Arial" w:eastAsia="Times" w:hAnsi="Arial" w:cs="Arial"/>
      <w:i/>
      <w:iCs/>
      <w:sz w:val="20"/>
      <w:szCs w:val="20"/>
      <w:lang w:eastAsia="zh-CN"/>
    </w:rPr>
  </w:style>
  <w:style w:type="character" w:customStyle="1" w:styleId="CorpsdetexteCar">
    <w:name w:val="Corps de texte Car"/>
    <w:basedOn w:val="Policepardfaut"/>
    <w:link w:val="Corpsdetexte"/>
    <w:rsid w:val="0088535F"/>
    <w:rPr>
      <w:rFonts w:ascii="Arial" w:eastAsia="Times" w:hAnsi="Arial" w:cs="Arial"/>
      <w:i/>
      <w:iCs/>
      <w:sz w:val="20"/>
      <w:szCs w:val="20"/>
      <w:lang w:eastAsia="zh-CN"/>
    </w:rPr>
  </w:style>
  <w:style w:type="paragraph" w:styleId="Paragraphedeliste">
    <w:name w:val="List Paragraph"/>
    <w:aliases w:val="List Paragraph (numbered (a)),Yellow Bullet,Normal bullet 2,Paragraph,Bullets,Ha,titulo 3,HOJA,Bolita,Párrafo de lista4,BOLADEF,Párrafo de lista3,Párrafo de lista21,BOLA,Nivel 1 OS,Dot pt,List Paragraph Char Char Char,Indicator Text"/>
    <w:basedOn w:val="Normal"/>
    <w:link w:val="ParagraphedelisteCar"/>
    <w:uiPriority w:val="34"/>
    <w:qFormat/>
    <w:rsid w:val="0088535F"/>
    <w:pPr>
      <w:spacing w:after="0" w:line="240" w:lineRule="auto"/>
      <w:ind w:left="720"/>
      <w:contextualSpacing/>
    </w:pPr>
    <w:rPr>
      <w:rFonts w:ascii="Calibri" w:eastAsia="Calibri" w:hAnsi="Calibri" w:cs="Times New Roman"/>
      <w:lang w:val="en-US"/>
    </w:rPr>
  </w:style>
  <w:style w:type="character" w:customStyle="1" w:styleId="ParagraphedelisteCar">
    <w:name w:val="Paragraphe de liste Car"/>
    <w:aliases w:val="List Paragraph (numbered (a)) Car,Yellow Bullet Car,Normal bullet 2 Car,Paragraph Car,Bullets Car,Ha Car,titulo 3 Car,HOJA Car,Bolita Car,Párrafo de lista4 Car,BOLADEF Car,Párrafo de lista3 Car,Párrafo de lista21 Car,BOLA Car"/>
    <w:link w:val="Paragraphedeliste"/>
    <w:uiPriority w:val="34"/>
    <w:qFormat/>
    <w:locked/>
    <w:rsid w:val="0088535F"/>
    <w:rPr>
      <w:rFonts w:ascii="Calibri" w:eastAsia="Calibri" w:hAnsi="Calibri" w:cs="Times New Roman"/>
      <w:lang w:val="en-US"/>
    </w:rPr>
  </w:style>
  <w:style w:type="character" w:styleId="Lienhypertexte">
    <w:name w:val="Hyperlink"/>
    <w:uiPriority w:val="99"/>
    <w:rsid w:val="0088535F"/>
    <w:rPr>
      <w:color w:val="0000FF"/>
      <w:u w:val="single"/>
    </w:rPr>
  </w:style>
  <w:style w:type="character" w:styleId="Accentuation">
    <w:name w:val="Emphasis"/>
    <w:uiPriority w:val="20"/>
    <w:qFormat/>
    <w:rsid w:val="0088535F"/>
    <w:rPr>
      <w:i/>
      <w:iCs/>
    </w:rPr>
  </w:style>
  <w:style w:type="paragraph" w:styleId="NormalWeb">
    <w:name w:val="Normal (Web)"/>
    <w:basedOn w:val="Normal"/>
    <w:uiPriority w:val="99"/>
    <w:rsid w:val="0088535F"/>
    <w:pPr>
      <w:suppressAutoHyphens/>
      <w:spacing w:before="100" w:after="100" w:line="240" w:lineRule="auto"/>
    </w:pPr>
    <w:rPr>
      <w:rFonts w:ascii="Arial Unicode MS" w:eastAsia="Arial Unicode MS" w:hAnsi="Arial Unicode MS" w:cs="Arial Unicode MS"/>
      <w:sz w:val="24"/>
      <w:szCs w:val="24"/>
      <w:lang w:eastAsia="zh-CN"/>
    </w:rPr>
  </w:style>
  <w:style w:type="paragraph" w:styleId="Sansinterligne">
    <w:name w:val="No Spacing"/>
    <w:uiPriority w:val="1"/>
    <w:qFormat/>
    <w:rsid w:val="0088535F"/>
    <w:pPr>
      <w:spacing w:after="0" w:line="240" w:lineRule="auto"/>
    </w:pPr>
    <w:rPr>
      <w:rFonts w:ascii="Calibri" w:eastAsia="Calibri" w:hAnsi="Calibri" w:cs="Times New Roman"/>
      <w:lang w:val="en-US"/>
    </w:rPr>
  </w:style>
  <w:style w:type="paragraph" w:styleId="Textedebulles">
    <w:name w:val="Balloon Text"/>
    <w:basedOn w:val="Normal"/>
    <w:link w:val="TextedebullesCar"/>
    <w:uiPriority w:val="99"/>
    <w:semiHidden/>
    <w:unhideWhenUsed/>
    <w:rsid w:val="00B211D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211D8"/>
    <w:rPr>
      <w:rFonts w:ascii="Segoe UI" w:hAnsi="Segoe UI" w:cs="Segoe UI"/>
      <w:sz w:val="18"/>
      <w:szCs w:val="18"/>
    </w:rPr>
  </w:style>
  <w:style w:type="character" w:styleId="Marquedecommentaire">
    <w:name w:val="annotation reference"/>
    <w:basedOn w:val="Policepardfaut"/>
    <w:uiPriority w:val="99"/>
    <w:unhideWhenUsed/>
    <w:rsid w:val="00F32B45"/>
    <w:rPr>
      <w:sz w:val="16"/>
      <w:szCs w:val="16"/>
    </w:rPr>
  </w:style>
  <w:style w:type="paragraph" w:styleId="Commentaire">
    <w:name w:val="annotation text"/>
    <w:basedOn w:val="Normal"/>
    <w:link w:val="CommentaireCar"/>
    <w:uiPriority w:val="99"/>
    <w:unhideWhenUsed/>
    <w:rsid w:val="00F32B45"/>
    <w:pPr>
      <w:spacing w:line="240" w:lineRule="auto"/>
    </w:pPr>
    <w:rPr>
      <w:sz w:val="20"/>
      <w:szCs w:val="20"/>
    </w:rPr>
  </w:style>
  <w:style w:type="character" w:customStyle="1" w:styleId="CommentaireCar">
    <w:name w:val="Commentaire Car"/>
    <w:basedOn w:val="Policepardfaut"/>
    <w:link w:val="Commentaire"/>
    <w:uiPriority w:val="99"/>
    <w:rsid w:val="00F32B45"/>
    <w:rPr>
      <w:sz w:val="20"/>
      <w:szCs w:val="20"/>
    </w:rPr>
  </w:style>
  <w:style w:type="paragraph" w:styleId="Objetducommentaire">
    <w:name w:val="annotation subject"/>
    <w:basedOn w:val="Commentaire"/>
    <w:next w:val="Commentaire"/>
    <w:link w:val="ObjetducommentaireCar"/>
    <w:uiPriority w:val="99"/>
    <w:semiHidden/>
    <w:unhideWhenUsed/>
    <w:rsid w:val="00F32B45"/>
    <w:rPr>
      <w:b/>
      <w:bCs/>
    </w:rPr>
  </w:style>
  <w:style w:type="character" w:customStyle="1" w:styleId="ObjetducommentaireCar">
    <w:name w:val="Objet du commentaire Car"/>
    <w:basedOn w:val="CommentaireCar"/>
    <w:link w:val="Objetducommentaire"/>
    <w:uiPriority w:val="99"/>
    <w:semiHidden/>
    <w:rsid w:val="00F32B45"/>
    <w:rPr>
      <w:b/>
      <w:bCs/>
      <w:sz w:val="20"/>
      <w:szCs w:val="20"/>
    </w:rPr>
  </w:style>
  <w:style w:type="paragraph" w:styleId="En-tte">
    <w:name w:val="header"/>
    <w:basedOn w:val="Normal"/>
    <w:link w:val="En-tteCar"/>
    <w:unhideWhenUsed/>
    <w:rsid w:val="00AF7742"/>
    <w:pPr>
      <w:tabs>
        <w:tab w:val="center" w:pos="4703"/>
        <w:tab w:val="right" w:pos="9406"/>
      </w:tabs>
      <w:spacing w:after="0" w:line="240" w:lineRule="auto"/>
    </w:pPr>
  </w:style>
  <w:style w:type="character" w:customStyle="1" w:styleId="En-tteCar">
    <w:name w:val="En-tête Car"/>
    <w:basedOn w:val="Policepardfaut"/>
    <w:link w:val="En-tte"/>
    <w:rsid w:val="00AF7742"/>
  </w:style>
  <w:style w:type="paragraph" w:styleId="Pieddepage">
    <w:name w:val="footer"/>
    <w:basedOn w:val="Normal"/>
    <w:link w:val="PieddepageCar"/>
    <w:uiPriority w:val="99"/>
    <w:unhideWhenUsed/>
    <w:rsid w:val="00AF7742"/>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AF7742"/>
  </w:style>
  <w:style w:type="paragraph" w:styleId="Rvision">
    <w:name w:val="Revision"/>
    <w:hidden/>
    <w:uiPriority w:val="99"/>
    <w:semiHidden/>
    <w:rsid w:val="00B26372"/>
    <w:pPr>
      <w:spacing w:after="0" w:line="240" w:lineRule="auto"/>
    </w:pPr>
  </w:style>
  <w:style w:type="character" w:customStyle="1" w:styleId="Titre1Car">
    <w:name w:val="Titre 1 Car"/>
    <w:basedOn w:val="Policepardfaut"/>
    <w:link w:val="Titre1"/>
    <w:uiPriority w:val="9"/>
    <w:rsid w:val="00102D8C"/>
    <w:rPr>
      <w:rFonts w:asciiTheme="majorHAnsi" w:eastAsiaTheme="majorEastAsia" w:hAnsiTheme="majorHAnsi" w:cstheme="majorBidi"/>
      <w:color w:val="2E74B5" w:themeColor="accent1" w:themeShade="BF"/>
      <w:sz w:val="32"/>
      <w:szCs w:val="32"/>
    </w:rPr>
  </w:style>
  <w:style w:type="character" w:customStyle="1" w:styleId="Style5Char">
    <w:name w:val="Style5 Char"/>
    <w:basedOn w:val="Policepardfaut"/>
    <w:link w:val="Style5"/>
    <w:locked/>
    <w:rsid w:val="003852DE"/>
    <w:rPr>
      <w:color w:val="000000"/>
      <w:sz w:val="24"/>
      <w:szCs w:val="24"/>
      <w:u w:color="000000"/>
      <w14:textOutline w14:w="0" w14:cap="flat" w14:cmpd="sng" w14:algn="ctr">
        <w14:noFill/>
        <w14:prstDash w14:val="solid"/>
        <w14:bevel/>
      </w14:textOutline>
    </w:rPr>
  </w:style>
  <w:style w:type="paragraph" w:customStyle="1" w:styleId="Style5">
    <w:name w:val="Style5"/>
    <w:basedOn w:val="Normal"/>
    <w:link w:val="Style5Char"/>
    <w:qFormat/>
    <w:rsid w:val="003852DE"/>
    <w:pPr>
      <w:spacing w:after="480" w:line="276" w:lineRule="auto"/>
      <w:jc w:val="both"/>
    </w:pPr>
    <w:rPr>
      <w:color w:val="000000"/>
      <w:sz w:val="24"/>
      <w:szCs w:val="24"/>
      <w:u w:color="000000"/>
      <w14:textOutline w14:w="0" w14:cap="flat" w14:cmpd="sng" w14:algn="ctr">
        <w14:noFill/>
        <w14:prstDash w14:val="solid"/>
        <w14:bevel/>
      </w14:textOutline>
    </w:rPr>
  </w:style>
  <w:style w:type="paragraph" w:styleId="PrformatHTML">
    <w:name w:val="HTML Preformatted"/>
    <w:basedOn w:val="Normal"/>
    <w:link w:val="PrformatHTMLCar"/>
    <w:uiPriority w:val="99"/>
    <w:semiHidden/>
    <w:unhideWhenUsed/>
    <w:rsid w:val="007E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7E7DF6"/>
    <w:rPr>
      <w:rFonts w:ascii="Courier New" w:eastAsia="Times New Roman" w:hAnsi="Courier New" w:cs="Courier New"/>
      <w:sz w:val="20"/>
      <w:szCs w:val="20"/>
      <w:lang w:eastAsia="fr-FR"/>
    </w:rPr>
  </w:style>
  <w:style w:type="character" w:customStyle="1" w:styleId="y2iqfc">
    <w:name w:val="y2iqfc"/>
    <w:basedOn w:val="Policepardfaut"/>
    <w:rsid w:val="007E7DF6"/>
  </w:style>
  <w:style w:type="character" w:customStyle="1" w:styleId="Titre3Car">
    <w:name w:val="Titre 3 Car"/>
    <w:basedOn w:val="Policepardfaut"/>
    <w:link w:val="Titre3"/>
    <w:uiPriority w:val="9"/>
    <w:semiHidden/>
    <w:rsid w:val="00BE5437"/>
    <w:rPr>
      <w:rFonts w:asciiTheme="majorHAnsi" w:eastAsiaTheme="majorEastAsia" w:hAnsiTheme="majorHAnsi" w:cstheme="majorBidi"/>
      <w:color w:val="1F4D78" w:themeColor="accent1" w:themeShade="7F"/>
      <w:sz w:val="24"/>
      <w:szCs w:val="24"/>
    </w:rPr>
  </w:style>
  <w:style w:type="character" w:customStyle="1" w:styleId="None">
    <w:name w:val="None"/>
    <w:rsid w:val="00BE5437"/>
  </w:style>
  <w:style w:type="paragraph" w:customStyle="1" w:styleId="ParrafoNormal">
    <w:name w:val="Parrafo Normal"/>
    <w:basedOn w:val="Normal"/>
    <w:link w:val="ParrafoNormalCar"/>
    <w:qFormat/>
    <w:rsid w:val="00BE5437"/>
    <w:pPr>
      <w:spacing w:after="200" w:line="276" w:lineRule="auto"/>
      <w:jc w:val="both"/>
    </w:pPr>
    <w:rPr>
      <w:rFonts w:ascii="Gill Sans MT" w:hAnsi="Gill Sans MT"/>
      <w:lang w:val="es-ES"/>
    </w:rPr>
  </w:style>
  <w:style w:type="character" w:customStyle="1" w:styleId="ParrafoNormalCar">
    <w:name w:val="Parrafo Normal Car"/>
    <w:basedOn w:val="Policepardfaut"/>
    <w:link w:val="ParrafoNormal"/>
    <w:rsid w:val="00BE5437"/>
    <w:rPr>
      <w:rFonts w:ascii="Gill Sans MT" w:hAnsi="Gill Sans MT"/>
      <w:lang w:val="es-ES"/>
    </w:rPr>
  </w:style>
  <w:style w:type="paragraph" w:styleId="Listepuces">
    <w:name w:val="List Bullet"/>
    <w:basedOn w:val="Normal"/>
    <w:uiPriority w:val="99"/>
    <w:unhideWhenUsed/>
    <w:rsid w:val="003A413C"/>
    <w:pPr>
      <w:numPr>
        <w:numId w:val="1"/>
      </w:numPr>
      <w:spacing w:after="200" w:line="276" w:lineRule="auto"/>
      <w:contextualSpacing/>
    </w:pPr>
    <w:rPr>
      <w:rFonts w:ascii="Calibri" w:eastAsia="Calibri" w:hAnsi="Calibri"/>
      <w:lang w:val="en-US"/>
    </w:rPr>
  </w:style>
  <w:style w:type="character" w:customStyle="1" w:styleId="Titre4Car">
    <w:name w:val="Titre 4 Car"/>
    <w:basedOn w:val="Policepardfaut"/>
    <w:link w:val="Titre4"/>
    <w:uiPriority w:val="9"/>
    <w:semiHidden/>
    <w:rsid w:val="005629E4"/>
    <w:rPr>
      <w:rFonts w:asciiTheme="majorHAnsi" w:eastAsiaTheme="majorEastAsia" w:hAnsiTheme="majorHAnsi" w:cstheme="majorBidi"/>
      <w:i/>
      <w:iCs/>
      <w:color w:val="2E74B5" w:themeColor="accent1" w:themeShade="BF"/>
    </w:rPr>
  </w:style>
  <w:style w:type="paragraph" w:styleId="Notedebasdepage">
    <w:name w:val="footnote text"/>
    <w:basedOn w:val="Normal"/>
    <w:link w:val="NotedebasdepageCar"/>
    <w:uiPriority w:val="99"/>
    <w:semiHidden/>
    <w:unhideWhenUsed/>
    <w:rsid w:val="00DA0A3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A0A37"/>
    <w:rPr>
      <w:sz w:val="20"/>
      <w:szCs w:val="20"/>
      <w:lang w:val="es-CR"/>
    </w:rPr>
  </w:style>
  <w:style w:type="character" w:styleId="Appelnotedebasdep">
    <w:name w:val="footnote reference"/>
    <w:basedOn w:val="Policepardfaut"/>
    <w:uiPriority w:val="99"/>
    <w:semiHidden/>
    <w:unhideWhenUsed/>
    <w:rsid w:val="00DA0A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8032">
      <w:bodyDiv w:val="1"/>
      <w:marLeft w:val="0"/>
      <w:marRight w:val="0"/>
      <w:marTop w:val="0"/>
      <w:marBottom w:val="0"/>
      <w:divBdr>
        <w:top w:val="none" w:sz="0" w:space="0" w:color="auto"/>
        <w:left w:val="none" w:sz="0" w:space="0" w:color="auto"/>
        <w:bottom w:val="none" w:sz="0" w:space="0" w:color="auto"/>
        <w:right w:val="none" w:sz="0" w:space="0" w:color="auto"/>
      </w:divBdr>
      <w:divsChild>
        <w:div w:id="1193807305">
          <w:marLeft w:val="0"/>
          <w:marRight w:val="0"/>
          <w:marTop w:val="0"/>
          <w:marBottom w:val="0"/>
          <w:divBdr>
            <w:top w:val="none" w:sz="0" w:space="0" w:color="auto"/>
            <w:left w:val="none" w:sz="0" w:space="0" w:color="auto"/>
            <w:bottom w:val="none" w:sz="0" w:space="0" w:color="auto"/>
            <w:right w:val="none" w:sz="0" w:space="0" w:color="auto"/>
          </w:divBdr>
          <w:divsChild>
            <w:div w:id="1804494580">
              <w:marLeft w:val="0"/>
              <w:marRight w:val="0"/>
              <w:marTop w:val="0"/>
              <w:marBottom w:val="0"/>
              <w:divBdr>
                <w:top w:val="none" w:sz="0" w:space="0" w:color="auto"/>
                <w:left w:val="none" w:sz="0" w:space="0" w:color="auto"/>
                <w:bottom w:val="none" w:sz="0" w:space="0" w:color="auto"/>
                <w:right w:val="none" w:sz="0" w:space="0" w:color="auto"/>
              </w:divBdr>
              <w:divsChild>
                <w:div w:id="1246106681">
                  <w:marLeft w:val="0"/>
                  <w:marRight w:val="0"/>
                  <w:marTop w:val="0"/>
                  <w:marBottom w:val="0"/>
                  <w:divBdr>
                    <w:top w:val="none" w:sz="0" w:space="0" w:color="auto"/>
                    <w:left w:val="none" w:sz="0" w:space="0" w:color="auto"/>
                    <w:bottom w:val="none" w:sz="0" w:space="0" w:color="auto"/>
                    <w:right w:val="none" w:sz="0" w:space="0" w:color="auto"/>
                  </w:divBdr>
                  <w:divsChild>
                    <w:div w:id="938368318">
                      <w:marLeft w:val="0"/>
                      <w:marRight w:val="0"/>
                      <w:marTop w:val="0"/>
                      <w:marBottom w:val="0"/>
                      <w:divBdr>
                        <w:top w:val="none" w:sz="0" w:space="0" w:color="auto"/>
                        <w:left w:val="none" w:sz="0" w:space="0" w:color="auto"/>
                        <w:bottom w:val="none" w:sz="0" w:space="0" w:color="auto"/>
                        <w:right w:val="none" w:sz="0" w:space="0" w:color="auto"/>
                      </w:divBdr>
                      <w:divsChild>
                        <w:div w:id="1027829999">
                          <w:marLeft w:val="0"/>
                          <w:marRight w:val="0"/>
                          <w:marTop w:val="0"/>
                          <w:marBottom w:val="0"/>
                          <w:divBdr>
                            <w:top w:val="none" w:sz="0" w:space="0" w:color="auto"/>
                            <w:left w:val="none" w:sz="0" w:space="0" w:color="auto"/>
                            <w:bottom w:val="none" w:sz="0" w:space="0" w:color="auto"/>
                            <w:right w:val="none" w:sz="0" w:space="0" w:color="auto"/>
                          </w:divBdr>
                          <w:divsChild>
                            <w:div w:id="820385902">
                              <w:marLeft w:val="0"/>
                              <w:marRight w:val="300"/>
                              <w:marTop w:val="180"/>
                              <w:marBottom w:val="0"/>
                              <w:divBdr>
                                <w:top w:val="none" w:sz="0" w:space="0" w:color="auto"/>
                                <w:left w:val="none" w:sz="0" w:space="0" w:color="auto"/>
                                <w:bottom w:val="none" w:sz="0" w:space="0" w:color="auto"/>
                                <w:right w:val="none" w:sz="0" w:space="0" w:color="auto"/>
                              </w:divBdr>
                              <w:divsChild>
                                <w:div w:id="47633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588114">
          <w:marLeft w:val="0"/>
          <w:marRight w:val="0"/>
          <w:marTop w:val="0"/>
          <w:marBottom w:val="0"/>
          <w:divBdr>
            <w:top w:val="none" w:sz="0" w:space="0" w:color="auto"/>
            <w:left w:val="none" w:sz="0" w:space="0" w:color="auto"/>
            <w:bottom w:val="none" w:sz="0" w:space="0" w:color="auto"/>
            <w:right w:val="none" w:sz="0" w:space="0" w:color="auto"/>
          </w:divBdr>
          <w:divsChild>
            <w:div w:id="2049144309">
              <w:marLeft w:val="0"/>
              <w:marRight w:val="0"/>
              <w:marTop w:val="0"/>
              <w:marBottom w:val="0"/>
              <w:divBdr>
                <w:top w:val="none" w:sz="0" w:space="0" w:color="auto"/>
                <w:left w:val="none" w:sz="0" w:space="0" w:color="auto"/>
                <w:bottom w:val="none" w:sz="0" w:space="0" w:color="auto"/>
                <w:right w:val="none" w:sz="0" w:space="0" w:color="auto"/>
              </w:divBdr>
              <w:divsChild>
                <w:div w:id="889807288">
                  <w:marLeft w:val="0"/>
                  <w:marRight w:val="0"/>
                  <w:marTop w:val="0"/>
                  <w:marBottom w:val="0"/>
                  <w:divBdr>
                    <w:top w:val="none" w:sz="0" w:space="0" w:color="auto"/>
                    <w:left w:val="none" w:sz="0" w:space="0" w:color="auto"/>
                    <w:bottom w:val="none" w:sz="0" w:space="0" w:color="auto"/>
                    <w:right w:val="none" w:sz="0" w:space="0" w:color="auto"/>
                  </w:divBdr>
                  <w:divsChild>
                    <w:div w:id="2112815265">
                      <w:marLeft w:val="0"/>
                      <w:marRight w:val="0"/>
                      <w:marTop w:val="0"/>
                      <w:marBottom w:val="0"/>
                      <w:divBdr>
                        <w:top w:val="none" w:sz="0" w:space="0" w:color="auto"/>
                        <w:left w:val="none" w:sz="0" w:space="0" w:color="auto"/>
                        <w:bottom w:val="none" w:sz="0" w:space="0" w:color="auto"/>
                        <w:right w:val="none" w:sz="0" w:space="0" w:color="auto"/>
                      </w:divBdr>
                      <w:divsChild>
                        <w:div w:id="145000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2420115">
      <w:bodyDiv w:val="1"/>
      <w:marLeft w:val="0"/>
      <w:marRight w:val="0"/>
      <w:marTop w:val="0"/>
      <w:marBottom w:val="0"/>
      <w:divBdr>
        <w:top w:val="none" w:sz="0" w:space="0" w:color="auto"/>
        <w:left w:val="none" w:sz="0" w:space="0" w:color="auto"/>
        <w:bottom w:val="none" w:sz="0" w:space="0" w:color="auto"/>
        <w:right w:val="none" w:sz="0" w:space="0" w:color="auto"/>
      </w:divBdr>
      <w:divsChild>
        <w:div w:id="487206690">
          <w:marLeft w:val="0"/>
          <w:marRight w:val="0"/>
          <w:marTop w:val="0"/>
          <w:marBottom w:val="0"/>
          <w:divBdr>
            <w:top w:val="none" w:sz="0" w:space="0" w:color="auto"/>
            <w:left w:val="none" w:sz="0" w:space="0" w:color="auto"/>
            <w:bottom w:val="none" w:sz="0" w:space="0" w:color="auto"/>
            <w:right w:val="none" w:sz="0" w:space="0" w:color="auto"/>
          </w:divBdr>
        </w:div>
        <w:div w:id="796066286">
          <w:marLeft w:val="0"/>
          <w:marRight w:val="0"/>
          <w:marTop w:val="0"/>
          <w:marBottom w:val="0"/>
          <w:divBdr>
            <w:top w:val="none" w:sz="0" w:space="0" w:color="auto"/>
            <w:left w:val="none" w:sz="0" w:space="0" w:color="auto"/>
            <w:bottom w:val="none" w:sz="0" w:space="0" w:color="auto"/>
            <w:right w:val="none" w:sz="0" w:space="0" w:color="auto"/>
          </w:divBdr>
        </w:div>
      </w:divsChild>
    </w:div>
    <w:div w:id="330450723">
      <w:bodyDiv w:val="1"/>
      <w:marLeft w:val="0"/>
      <w:marRight w:val="0"/>
      <w:marTop w:val="0"/>
      <w:marBottom w:val="0"/>
      <w:divBdr>
        <w:top w:val="none" w:sz="0" w:space="0" w:color="auto"/>
        <w:left w:val="none" w:sz="0" w:space="0" w:color="auto"/>
        <w:bottom w:val="none" w:sz="0" w:space="0" w:color="auto"/>
        <w:right w:val="none" w:sz="0" w:space="0" w:color="auto"/>
      </w:divBdr>
    </w:div>
    <w:div w:id="363865288">
      <w:bodyDiv w:val="1"/>
      <w:marLeft w:val="0"/>
      <w:marRight w:val="0"/>
      <w:marTop w:val="0"/>
      <w:marBottom w:val="0"/>
      <w:divBdr>
        <w:top w:val="none" w:sz="0" w:space="0" w:color="auto"/>
        <w:left w:val="none" w:sz="0" w:space="0" w:color="auto"/>
        <w:bottom w:val="none" w:sz="0" w:space="0" w:color="auto"/>
        <w:right w:val="none" w:sz="0" w:space="0" w:color="auto"/>
      </w:divBdr>
    </w:div>
    <w:div w:id="434636353">
      <w:bodyDiv w:val="1"/>
      <w:marLeft w:val="0"/>
      <w:marRight w:val="0"/>
      <w:marTop w:val="0"/>
      <w:marBottom w:val="0"/>
      <w:divBdr>
        <w:top w:val="none" w:sz="0" w:space="0" w:color="auto"/>
        <w:left w:val="none" w:sz="0" w:space="0" w:color="auto"/>
        <w:bottom w:val="none" w:sz="0" w:space="0" w:color="auto"/>
        <w:right w:val="none" w:sz="0" w:space="0" w:color="auto"/>
      </w:divBdr>
    </w:div>
    <w:div w:id="484707168">
      <w:bodyDiv w:val="1"/>
      <w:marLeft w:val="0"/>
      <w:marRight w:val="0"/>
      <w:marTop w:val="0"/>
      <w:marBottom w:val="0"/>
      <w:divBdr>
        <w:top w:val="none" w:sz="0" w:space="0" w:color="auto"/>
        <w:left w:val="none" w:sz="0" w:space="0" w:color="auto"/>
        <w:bottom w:val="none" w:sz="0" w:space="0" w:color="auto"/>
        <w:right w:val="none" w:sz="0" w:space="0" w:color="auto"/>
      </w:divBdr>
    </w:div>
    <w:div w:id="572006576">
      <w:bodyDiv w:val="1"/>
      <w:marLeft w:val="0"/>
      <w:marRight w:val="0"/>
      <w:marTop w:val="0"/>
      <w:marBottom w:val="0"/>
      <w:divBdr>
        <w:top w:val="none" w:sz="0" w:space="0" w:color="auto"/>
        <w:left w:val="none" w:sz="0" w:space="0" w:color="auto"/>
        <w:bottom w:val="none" w:sz="0" w:space="0" w:color="auto"/>
        <w:right w:val="none" w:sz="0" w:space="0" w:color="auto"/>
      </w:divBdr>
    </w:div>
    <w:div w:id="726341613">
      <w:bodyDiv w:val="1"/>
      <w:marLeft w:val="0"/>
      <w:marRight w:val="0"/>
      <w:marTop w:val="0"/>
      <w:marBottom w:val="0"/>
      <w:divBdr>
        <w:top w:val="none" w:sz="0" w:space="0" w:color="auto"/>
        <w:left w:val="none" w:sz="0" w:space="0" w:color="auto"/>
        <w:bottom w:val="none" w:sz="0" w:space="0" w:color="auto"/>
        <w:right w:val="none" w:sz="0" w:space="0" w:color="auto"/>
      </w:divBdr>
      <w:divsChild>
        <w:div w:id="1309166682">
          <w:marLeft w:val="0"/>
          <w:marRight w:val="0"/>
          <w:marTop w:val="0"/>
          <w:marBottom w:val="0"/>
          <w:divBdr>
            <w:top w:val="none" w:sz="0" w:space="0" w:color="auto"/>
            <w:left w:val="none" w:sz="0" w:space="0" w:color="auto"/>
            <w:bottom w:val="none" w:sz="0" w:space="0" w:color="auto"/>
            <w:right w:val="none" w:sz="0" w:space="0" w:color="auto"/>
          </w:divBdr>
        </w:div>
      </w:divsChild>
    </w:div>
    <w:div w:id="860164100">
      <w:bodyDiv w:val="1"/>
      <w:marLeft w:val="0"/>
      <w:marRight w:val="0"/>
      <w:marTop w:val="0"/>
      <w:marBottom w:val="0"/>
      <w:divBdr>
        <w:top w:val="none" w:sz="0" w:space="0" w:color="auto"/>
        <w:left w:val="none" w:sz="0" w:space="0" w:color="auto"/>
        <w:bottom w:val="none" w:sz="0" w:space="0" w:color="auto"/>
        <w:right w:val="none" w:sz="0" w:space="0" w:color="auto"/>
      </w:divBdr>
    </w:div>
    <w:div w:id="880018212">
      <w:bodyDiv w:val="1"/>
      <w:marLeft w:val="0"/>
      <w:marRight w:val="0"/>
      <w:marTop w:val="0"/>
      <w:marBottom w:val="0"/>
      <w:divBdr>
        <w:top w:val="none" w:sz="0" w:space="0" w:color="auto"/>
        <w:left w:val="none" w:sz="0" w:space="0" w:color="auto"/>
        <w:bottom w:val="none" w:sz="0" w:space="0" w:color="auto"/>
        <w:right w:val="none" w:sz="0" w:space="0" w:color="auto"/>
      </w:divBdr>
      <w:divsChild>
        <w:div w:id="1999571286">
          <w:marLeft w:val="0"/>
          <w:marRight w:val="0"/>
          <w:marTop w:val="0"/>
          <w:marBottom w:val="0"/>
          <w:divBdr>
            <w:top w:val="none" w:sz="0" w:space="0" w:color="auto"/>
            <w:left w:val="none" w:sz="0" w:space="0" w:color="auto"/>
            <w:bottom w:val="none" w:sz="0" w:space="0" w:color="auto"/>
            <w:right w:val="none" w:sz="0" w:space="0" w:color="auto"/>
          </w:divBdr>
        </w:div>
      </w:divsChild>
    </w:div>
    <w:div w:id="1016661547">
      <w:bodyDiv w:val="1"/>
      <w:marLeft w:val="0"/>
      <w:marRight w:val="0"/>
      <w:marTop w:val="0"/>
      <w:marBottom w:val="0"/>
      <w:divBdr>
        <w:top w:val="none" w:sz="0" w:space="0" w:color="auto"/>
        <w:left w:val="none" w:sz="0" w:space="0" w:color="auto"/>
        <w:bottom w:val="none" w:sz="0" w:space="0" w:color="auto"/>
        <w:right w:val="none" w:sz="0" w:space="0" w:color="auto"/>
      </w:divBdr>
    </w:div>
    <w:div w:id="1026834028">
      <w:bodyDiv w:val="1"/>
      <w:marLeft w:val="0"/>
      <w:marRight w:val="0"/>
      <w:marTop w:val="0"/>
      <w:marBottom w:val="0"/>
      <w:divBdr>
        <w:top w:val="none" w:sz="0" w:space="0" w:color="auto"/>
        <w:left w:val="none" w:sz="0" w:space="0" w:color="auto"/>
        <w:bottom w:val="none" w:sz="0" w:space="0" w:color="auto"/>
        <w:right w:val="none" w:sz="0" w:space="0" w:color="auto"/>
      </w:divBdr>
    </w:div>
    <w:div w:id="1072459853">
      <w:bodyDiv w:val="1"/>
      <w:marLeft w:val="0"/>
      <w:marRight w:val="0"/>
      <w:marTop w:val="0"/>
      <w:marBottom w:val="0"/>
      <w:divBdr>
        <w:top w:val="none" w:sz="0" w:space="0" w:color="auto"/>
        <w:left w:val="none" w:sz="0" w:space="0" w:color="auto"/>
        <w:bottom w:val="none" w:sz="0" w:space="0" w:color="auto"/>
        <w:right w:val="none" w:sz="0" w:space="0" w:color="auto"/>
      </w:divBdr>
    </w:div>
    <w:div w:id="1117139197">
      <w:bodyDiv w:val="1"/>
      <w:marLeft w:val="0"/>
      <w:marRight w:val="0"/>
      <w:marTop w:val="0"/>
      <w:marBottom w:val="0"/>
      <w:divBdr>
        <w:top w:val="none" w:sz="0" w:space="0" w:color="auto"/>
        <w:left w:val="none" w:sz="0" w:space="0" w:color="auto"/>
        <w:bottom w:val="none" w:sz="0" w:space="0" w:color="auto"/>
        <w:right w:val="none" w:sz="0" w:space="0" w:color="auto"/>
      </w:divBdr>
    </w:div>
    <w:div w:id="1679195245">
      <w:bodyDiv w:val="1"/>
      <w:marLeft w:val="0"/>
      <w:marRight w:val="0"/>
      <w:marTop w:val="0"/>
      <w:marBottom w:val="0"/>
      <w:divBdr>
        <w:top w:val="none" w:sz="0" w:space="0" w:color="auto"/>
        <w:left w:val="none" w:sz="0" w:space="0" w:color="auto"/>
        <w:bottom w:val="none" w:sz="0" w:space="0" w:color="auto"/>
        <w:right w:val="none" w:sz="0" w:space="0" w:color="auto"/>
      </w:divBdr>
    </w:div>
    <w:div w:id="1718702844">
      <w:bodyDiv w:val="1"/>
      <w:marLeft w:val="0"/>
      <w:marRight w:val="0"/>
      <w:marTop w:val="0"/>
      <w:marBottom w:val="0"/>
      <w:divBdr>
        <w:top w:val="none" w:sz="0" w:space="0" w:color="auto"/>
        <w:left w:val="none" w:sz="0" w:space="0" w:color="auto"/>
        <w:bottom w:val="none" w:sz="0" w:space="0" w:color="auto"/>
        <w:right w:val="none" w:sz="0" w:space="0" w:color="auto"/>
      </w:divBdr>
    </w:div>
    <w:div w:id="197880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lementine.moriceau\AppData\Local\Microsoft\Windows\INetCache\Content.Outlook\J83EOU94\expertisefranc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opass.europa.eu/es/create-europass-c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7DCA4-D511-4519-937E-2D2DC615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7156</Words>
  <Characters>39364</Characters>
  <Application>Microsoft Office Word</Application>
  <DocSecurity>0</DocSecurity>
  <Lines>328</Lines>
  <Paragraphs>92</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Expertise France</Company>
  <LinksUpToDate>false</LinksUpToDate>
  <CharactersWithSpaces>46428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Clementine MORICEAU</dc:creator>
  <cp:keywords/>
  <dc:description/>
  <cp:lastModifiedBy>Administrateur</cp:lastModifiedBy>
  <cp:revision>9</cp:revision>
  <dcterms:created xsi:type="dcterms:W3CDTF">2026-03-16T20:11:00Z</dcterms:created>
  <dcterms:modified xsi:type="dcterms:W3CDTF">2026-03-20T21:38:00Z</dcterms:modified>
</cp:coreProperties>
</file>